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BB5B1" w14:textId="27753036" w:rsidR="00FF4920" w:rsidRPr="006476F7" w:rsidRDefault="00D77014" w:rsidP="005125F9">
      <w:pPr>
        <w:tabs>
          <w:tab w:val="left" w:pos="360"/>
          <w:tab w:val="center" w:pos="4844"/>
          <w:tab w:val="left" w:pos="8693"/>
        </w:tabs>
        <w:suppressAutoHyphens/>
        <w:spacing w:after="0" w:line="240" w:lineRule="auto"/>
        <w:rPr>
          <w:rFonts w:ascii="Times New Roman" w:hAnsi="Times New Roman" w:cs="Times New Roman"/>
          <w:sz w:val="28"/>
          <w:szCs w:val="28"/>
          <w:lang w:val="kk-KZ"/>
        </w:rPr>
      </w:pPr>
      <w:r>
        <w:rPr>
          <w:rFonts w:ascii="Times New Roman" w:hAnsi="Times New Roman" w:cs="Times New Roman"/>
          <w:sz w:val="24"/>
          <w:szCs w:val="24"/>
        </w:rPr>
        <w:tab/>
      </w:r>
      <w:r>
        <w:rPr>
          <w:rFonts w:ascii="Times New Roman" w:hAnsi="Times New Roman" w:cs="Times New Roman"/>
          <w:sz w:val="24"/>
          <w:szCs w:val="24"/>
        </w:rPr>
        <w:tab/>
      </w:r>
      <w:r w:rsidR="00FF4920" w:rsidRPr="006476F7">
        <w:rPr>
          <w:rFonts w:ascii="Times New Roman" w:hAnsi="Times New Roman" w:cs="Times New Roman"/>
          <w:sz w:val="28"/>
          <w:szCs w:val="28"/>
        </w:rPr>
        <w:t xml:space="preserve">8D10102 - «Медицина» </w:t>
      </w:r>
      <w:proofErr w:type="spellStart"/>
      <w:r w:rsidR="00351E2D" w:rsidRPr="006476F7">
        <w:rPr>
          <w:rFonts w:ascii="Times New Roman" w:hAnsi="Times New Roman" w:cs="Times New Roman"/>
          <w:sz w:val="28"/>
          <w:szCs w:val="28"/>
        </w:rPr>
        <w:t>маманды</w:t>
      </w:r>
      <w:proofErr w:type="spellEnd"/>
      <w:r w:rsidR="00351E2D" w:rsidRPr="006476F7">
        <w:rPr>
          <w:rFonts w:ascii="Times New Roman" w:hAnsi="Times New Roman" w:cs="Times New Roman"/>
          <w:sz w:val="28"/>
          <w:szCs w:val="28"/>
          <w:lang w:val="kk-KZ"/>
        </w:rPr>
        <w:t xml:space="preserve">ғы бойынша </w:t>
      </w:r>
      <w:r w:rsidR="00D163C3" w:rsidRPr="006476F7">
        <w:rPr>
          <w:rFonts w:ascii="Times New Roman" w:hAnsi="Times New Roman" w:cs="Times New Roman"/>
          <w:sz w:val="28"/>
          <w:szCs w:val="28"/>
          <w:lang w:val="kk-KZ"/>
        </w:rPr>
        <w:t xml:space="preserve">философия докторы </w:t>
      </w:r>
      <w:r w:rsidRPr="006476F7">
        <w:rPr>
          <w:rFonts w:ascii="Times New Roman" w:hAnsi="Times New Roman" w:cs="Times New Roman"/>
          <w:sz w:val="28"/>
          <w:szCs w:val="28"/>
          <w:lang w:val="kk-KZ"/>
        </w:rPr>
        <w:tab/>
      </w:r>
    </w:p>
    <w:p w14:paraId="65F11F0F" w14:textId="3252E3E7" w:rsidR="006B7038" w:rsidRPr="006476F7" w:rsidRDefault="006B7038" w:rsidP="005125F9">
      <w:pPr>
        <w:tabs>
          <w:tab w:val="left" w:pos="360"/>
        </w:tabs>
        <w:suppressAutoHyphens/>
        <w:spacing w:after="0" w:line="240" w:lineRule="auto"/>
        <w:jc w:val="center"/>
        <w:rPr>
          <w:rFonts w:ascii="Times New Roman" w:hAnsi="Times New Roman" w:cs="Times New Roman"/>
          <w:sz w:val="28"/>
          <w:szCs w:val="28"/>
          <w:lang w:val="kk-KZ"/>
        </w:rPr>
      </w:pPr>
      <w:r w:rsidRPr="006476F7">
        <w:rPr>
          <w:rFonts w:ascii="Times New Roman" w:hAnsi="Times New Roman" w:cs="Times New Roman"/>
          <w:sz w:val="28"/>
          <w:szCs w:val="28"/>
          <w:lang w:val="kk-KZ"/>
        </w:rPr>
        <w:t>PhD д</w:t>
      </w:r>
      <w:r w:rsidR="00D163C3" w:rsidRPr="006476F7">
        <w:rPr>
          <w:rFonts w:ascii="Times New Roman" w:hAnsi="Times New Roman" w:cs="Times New Roman"/>
          <w:sz w:val="28"/>
          <w:szCs w:val="28"/>
          <w:lang w:val="kk-KZ"/>
        </w:rPr>
        <w:t xml:space="preserve">әрежесіне </w:t>
      </w:r>
      <w:r w:rsidR="00C90FF3" w:rsidRPr="006476F7">
        <w:rPr>
          <w:rFonts w:ascii="Times New Roman" w:hAnsi="Times New Roman" w:cs="Times New Roman"/>
          <w:sz w:val="28"/>
          <w:szCs w:val="28"/>
          <w:lang w:val="kk-KZ"/>
        </w:rPr>
        <w:t>ізденуші</w:t>
      </w:r>
      <w:r w:rsidRPr="006476F7">
        <w:rPr>
          <w:rFonts w:ascii="Times New Roman" w:hAnsi="Times New Roman" w:cs="Times New Roman"/>
          <w:sz w:val="28"/>
          <w:szCs w:val="28"/>
          <w:lang w:val="kk-KZ"/>
        </w:rPr>
        <w:t xml:space="preserve"> Касымова Асель Аленовнаның</w:t>
      </w:r>
    </w:p>
    <w:p w14:paraId="7597C7DA" w14:textId="687FC226" w:rsidR="006B7038" w:rsidRPr="006476F7" w:rsidRDefault="00571BD2" w:rsidP="005125F9">
      <w:pPr>
        <w:tabs>
          <w:tab w:val="left" w:pos="360"/>
        </w:tabs>
        <w:suppressAutoHyphens/>
        <w:spacing w:after="0" w:line="240" w:lineRule="auto"/>
        <w:jc w:val="center"/>
        <w:rPr>
          <w:rFonts w:ascii="Times New Roman" w:hAnsi="Times New Roman" w:cs="Times New Roman"/>
          <w:b/>
          <w:bCs/>
          <w:sz w:val="28"/>
          <w:szCs w:val="28"/>
          <w:lang w:val="kk-KZ"/>
        </w:rPr>
      </w:pPr>
      <w:r w:rsidRPr="006476F7">
        <w:rPr>
          <w:rFonts w:ascii="Times New Roman" w:hAnsi="Times New Roman" w:cs="Times New Roman"/>
          <w:sz w:val="28"/>
          <w:szCs w:val="28"/>
          <w:lang w:val="kk-KZ"/>
        </w:rPr>
        <w:t>«</w:t>
      </w:r>
      <w:r w:rsidRPr="006476F7">
        <w:rPr>
          <w:rFonts w:ascii="Times New Roman" w:hAnsi="Times New Roman" w:cs="Times New Roman"/>
          <w:b/>
          <w:bCs/>
          <w:sz w:val="28"/>
          <w:szCs w:val="28"/>
          <w:lang w:val="kk-KZ"/>
        </w:rPr>
        <w:t>Жедел коронарлық синдроммен жүрекше фибрилляциясы бар науқастарда тері арқылы коронарлық араласулардан кейін ишемиялық және геморрагиялық жағдайлардың болжамдық көрсеткіштері</w:t>
      </w:r>
      <w:r w:rsidRPr="006476F7">
        <w:rPr>
          <w:rFonts w:ascii="Times New Roman" w:hAnsi="Times New Roman" w:cs="Times New Roman"/>
          <w:sz w:val="28"/>
          <w:szCs w:val="28"/>
          <w:lang w:val="kk-KZ"/>
        </w:rPr>
        <w:t>» тақырыбындағы диссертациялық жұмысына</w:t>
      </w:r>
    </w:p>
    <w:p w14:paraId="7F58B46A" w14:textId="2A6DF84B" w:rsidR="00571BD2" w:rsidRPr="006476F7" w:rsidRDefault="008D26B9" w:rsidP="005125F9">
      <w:pPr>
        <w:pStyle w:val="1"/>
        <w:spacing w:before="100" w:after="100"/>
        <w:rPr>
          <w:szCs w:val="28"/>
          <w:lang w:val="kk-KZ"/>
        </w:rPr>
      </w:pPr>
      <w:r w:rsidRPr="006476F7">
        <w:rPr>
          <w:szCs w:val="28"/>
          <w:lang w:val="kk-KZ"/>
        </w:rPr>
        <w:t>АННОТАЦИЯ</w:t>
      </w:r>
    </w:p>
    <w:p w14:paraId="14FD47F6" w14:textId="55F0BC45" w:rsidR="00846919" w:rsidRPr="006476F7" w:rsidRDefault="006B7038" w:rsidP="005125F9">
      <w:pPr>
        <w:pStyle w:val="af"/>
        <w:spacing w:before="0" w:line="240" w:lineRule="auto"/>
        <w:rPr>
          <w:rFonts w:cs="Times New Roman"/>
          <w:b/>
          <w:sz w:val="28"/>
          <w:szCs w:val="28"/>
          <w:lang w:val="kk-KZ"/>
        </w:rPr>
      </w:pPr>
      <w:r w:rsidRPr="006476F7">
        <w:rPr>
          <w:rFonts w:cs="Times New Roman"/>
          <w:b/>
          <w:sz w:val="28"/>
          <w:szCs w:val="28"/>
          <w:lang w:val="kk-KZ"/>
        </w:rPr>
        <w:t>Жұмыстың өзектілігі</w:t>
      </w:r>
      <w:r w:rsidR="008D26B9" w:rsidRPr="006476F7">
        <w:rPr>
          <w:rFonts w:cs="Times New Roman"/>
          <w:b/>
          <w:sz w:val="28"/>
          <w:szCs w:val="28"/>
          <w:lang w:val="kk-KZ"/>
        </w:rPr>
        <w:t>:</w:t>
      </w:r>
    </w:p>
    <w:p w14:paraId="39F6156A" w14:textId="4954A5EE" w:rsidR="006B7038" w:rsidRPr="006476F7" w:rsidRDefault="006B7038" w:rsidP="005125F9">
      <w:pPr>
        <w:pStyle w:val="af"/>
        <w:spacing w:before="0" w:line="240" w:lineRule="auto"/>
        <w:rPr>
          <w:rFonts w:cs="Times New Roman"/>
          <w:sz w:val="28"/>
          <w:szCs w:val="28"/>
          <w:lang w:val="kk-KZ"/>
        </w:rPr>
      </w:pPr>
      <w:r w:rsidRPr="006476F7">
        <w:rPr>
          <w:rFonts w:cs="Times New Roman"/>
          <w:sz w:val="28"/>
          <w:szCs w:val="28"/>
          <w:lang w:val="kk-KZ"/>
        </w:rPr>
        <w:t>Қазіргі таңда жүрек-қантамыр аурулары (ЖҚА) халық өлім-жітімі құрылымында жетекші орындардың бірін иеленіп отыр. Эндоваскулярлық араласулар кардиология саласында жаңа кезеңнің басталуына себеп болып, ишемиялық жүрек ауруын (ИЖА) емдеудің мүмкіндіктерін айтарлықтай кеңейтті. Алайда, тері арқылы коронарлық араласудың (ТКА) кең таралуы қайталама жағымсыз жүрек-қантамырлық асқынулар (ЖЖҚА) мәселесінің өзектілігін арттырып отыр.</w:t>
      </w:r>
    </w:p>
    <w:p w14:paraId="4070D689" w14:textId="7A9EE78D" w:rsidR="006B7038" w:rsidRPr="006476F7" w:rsidRDefault="00642147" w:rsidP="005125F9">
      <w:pPr>
        <w:pStyle w:val="af"/>
        <w:spacing w:before="0" w:line="240" w:lineRule="auto"/>
        <w:rPr>
          <w:rFonts w:cs="Times New Roman"/>
          <w:sz w:val="28"/>
          <w:szCs w:val="28"/>
          <w:lang w:val="kk-KZ"/>
        </w:rPr>
      </w:pPr>
      <w:r w:rsidRPr="006476F7">
        <w:rPr>
          <w:rFonts w:cs="Times New Roman"/>
          <w:sz w:val="28"/>
          <w:szCs w:val="28"/>
          <w:lang w:val="kk-KZ"/>
        </w:rPr>
        <w:t>Жүрек и</w:t>
      </w:r>
      <w:r w:rsidR="006B7038" w:rsidRPr="006476F7">
        <w:rPr>
          <w:rFonts w:cs="Times New Roman"/>
          <w:sz w:val="28"/>
          <w:szCs w:val="28"/>
          <w:lang w:val="kk-KZ"/>
        </w:rPr>
        <w:t>шемиялық ауруымен (Ж</w:t>
      </w:r>
      <w:r w:rsidRPr="006476F7">
        <w:rPr>
          <w:rFonts w:cs="Times New Roman"/>
          <w:sz w:val="28"/>
          <w:szCs w:val="28"/>
          <w:lang w:val="kk-KZ"/>
        </w:rPr>
        <w:t>И</w:t>
      </w:r>
      <w:r w:rsidR="006B7038" w:rsidRPr="006476F7">
        <w:rPr>
          <w:rFonts w:cs="Times New Roman"/>
          <w:sz w:val="28"/>
          <w:szCs w:val="28"/>
          <w:lang w:val="kk-KZ"/>
        </w:rPr>
        <w:t xml:space="preserve">А) ауыратын науқастардың шамамен 10%-ында жүрекше фибрилляциясы (ЖФ) анықталады. Жүрекше фибрилляциясы бар науқастардың 30%-дан астамында қатар жүретін </w:t>
      </w:r>
      <w:r w:rsidRPr="006476F7">
        <w:rPr>
          <w:rFonts w:cs="Times New Roman"/>
          <w:sz w:val="28"/>
          <w:szCs w:val="28"/>
          <w:lang w:val="kk-KZ"/>
        </w:rPr>
        <w:t xml:space="preserve">жүрек </w:t>
      </w:r>
      <w:r w:rsidR="006B7038" w:rsidRPr="006476F7">
        <w:rPr>
          <w:rFonts w:cs="Times New Roman"/>
          <w:sz w:val="28"/>
          <w:szCs w:val="28"/>
          <w:lang w:val="kk-KZ"/>
        </w:rPr>
        <w:t xml:space="preserve">ишемиялық ауруы кездеседі, ал 20–25%-ы </w:t>
      </w:r>
      <w:r w:rsidRPr="006476F7">
        <w:rPr>
          <w:rFonts w:cs="Times New Roman"/>
          <w:sz w:val="28"/>
          <w:szCs w:val="28"/>
          <w:lang w:val="kk-KZ"/>
        </w:rPr>
        <w:t>тері арқылы</w:t>
      </w:r>
      <w:r w:rsidR="006B7038" w:rsidRPr="006476F7">
        <w:rPr>
          <w:rFonts w:cs="Times New Roman"/>
          <w:sz w:val="28"/>
          <w:szCs w:val="28"/>
          <w:lang w:val="kk-KZ"/>
        </w:rPr>
        <w:t xml:space="preserve"> коронарлық араласуды (</w:t>
      </w:r>
      <w:r w:rsidRPr="006476F7">
        <w:rPr>
          <w:rFonts w:cs="Times New Roman"/>
          <w:sz w:val="28"/>
          <w:szCs w:val="28"/>
          <w:lang w:val="kk-KZ"/>
        </w:rPr>
        <w:t>Т</w:t>
      </w:r>
      <w:r w:rsidR="006B7038" w:rsidRPr="006476F7">
        <w:rPr>
          <w:rFonts w:cs="Times New Roman"/>
          <w:sz w:val="28"/>
          <w:szCs w:val="28"/>
          <w:lang w:val="kk-KZ"/>
        </w:rPr>
        <w:t>КА) қажет етеді.</w:t>
      </w:r>
    </w:p>
    <w:p w14:paraId="3E203E8D" w14:textId="760C89FA" w:rsidR="00642147" w:rsidRPr="006476F7" w:rsidRDefault="00642147" w:rsidP="005125F9">
      <w:pPr>
        <w:pStyle w:val="af"/>
        <w:spacing w:before="0" w:line="240" w:lineRule="auto"/>
        <w:rPr>
          <w:rFonts w:cs="Times New Roman"/>
          <w:sz w:val="28"/>
          <w:szCs w:val="28"/>
          <w:lang w:val="kk-KZ"/>
        </w:rPr>
      </w:pPr>
      <w:r w:rsidRPr="006476F7">
        <w:rPr>
          <w:rFonts w:cs="Times New Roman"/>
          <w:sz w:val="28"/>
          <w:szCs w:val="28"/>
          <w:lang w:val="kk-KZ"/>
        </w:rPr>
        <w:t>Әдеби деректер мен Еуропалық кардиологтар қоғамының (ESC, 2023) ұсынымдарына сәйкес, жүрекше фибрилляциясынан зардап шегіп, тері арқылы коронарлық араласу (ТКА) жасалған науқастарға қосарланған антитромботикалық терапия (ҚАТТ) тағайындау ұсынылады. Бұл терапия инсульттің алдын алу үшін бекітілген дозадағы ауыз арқылы қабылданатын антикоагулянтты (АҚА) және антиагрегантты біріктіріп қолдануды қамтиды. Клиникалық зерттеулерде антиагрегант ретінде ең жиі қолданылған препарат — клопидогрель, ол 90%-дан астам жағдайда таңдалған.</w:t>
      </w:r>
    </w:p>
    <w:p w14:paraId="4DC5FE5A" w14:textId="77777777" w:rsidR="00642147" w:rsidRPr="006476F7" w:rsidRDefault="00642147" w:rsidP="005125F9">
      <w:pPr>
        <w:pStyle w:val="af"/>
        <w:spacing w:before="0" w:line="240" w:lineRule="auto"/>
        <w:rPr>
          <w:rFonts w:cs="Times New Roman"/>
          <w:sz w:val="28"/>
          <w:szCs w:val="28"/>
          <w:lang w:val="kk-KZ"/>
        </w:rPr>
      </w:pPr>
      <w:r w:rsidRPr="006476F7">
        <w:rPr>
          <w:rFonts w:cs="Times New Roman"/>
          <w:sz w:val="28"/>
          <w:szCs w:val="28"/>
          <w:lang w:val="kk-KZ"/>
        </w:rPr>
        <w:t>Жедел коронарлық синдроммен (ЖКС) және жүрекше фибрилляциясымен (ЖФ) қатар жүретін науқастарда емдеу ерекше тәсілді қажет етеді. Бұл жағдайда инсульттің алдын алу мен стент тромбозының қаупін төмендету арасында тепе-теңдік сақтап, қан кету қаупін барынша азайту маңызды.</w:t>
      </w:r>
    </w:p>
    <w:p w14:paraId="2B00FB64" w14:textId="77777777" w:rsidR="00642147" w:rsidRPr="006476F7" w:rsidRDefault="00642147" w:rsidP="005125F9">
      <w:pPr>
        <w:pStyle w:val="af"/>
        <w:spacing w:before="0" w:line="240" w:lineRule="auto"/>
        <w:rPr>
          <w:rFonts w:cs="Times New Roman"/>
          <w:sz w:val="28"/>
          <w:szCs w:val="28"/>
          <w:lang w:val="kk-KZ"/>
        </w:rPr>
      </w:pPr>
      <w:r w:rsidRPr="006476F7">
        <w:rPr>
          <w:rFonts w:cs="Times New Roman"/>
          <w:sz w:val="28"/>
          <w:szCs w:val="28"/>
          <w:lang w:val="kk-KZ"/>
        </w:rPr>
        <w:t>Қан кету қаупін төмендете отырып, қажетті антитромботикалық әсерге қол жеткізу үшін ем тактикасы әрбір науқасқа жекелей тағайындалуы тиіс, яғни қан кету мен тромбоз қаупінің арақатынасы ескерілуі қажет.</w:t>
      </w:r>
    </w:p>
    <w:p w14:paraId="012EC941" w14:textId="4530255B" w:rsidR="00642147" w:rsidRPr="006476F7" w:rsidRDefault="00642147" w:rsidP="005125F9">
      <w:pPr>
        <w:pStyle w:val="af"/>
        <w:spacing w:before="0" w:line="240" w:lineRule="auto"/>
        <w:rPr>
          <w:rFonts w:cs="Times New Roman"/>
          <w:sz w:val="28"/>
          <w:szCs w:val="28"/>
          <w:lang w:val="kk-KZ"/>
        </w:rPr>
      </w:pPr>
      <w:r w:rsidRPr="006476F7">
        <w:rPr>
          <w:rFonts w:cs="Times New Roman"/>
          <w:sz w:val="28"/>
          <w:szCs w:val="28"/>
          <w:lang w:val="kk-KZ"/>
        </w:rPr>
        <w:t xml:space="preserve">P2Y12-рецепторларының блокаторларына терапевтік жауаптың өзгермелілігі қазіргі таңда маңызды мәселелердің бірі болып қалып отыр. Науқастардың шамамен 20–40%-ы бұл препараттарға төмен жауап береді, ал қан кету қаупі 11%-ға дейін жетеді. Жауаптың вариабельділігін анықтайтын негізгі факторлардың бірі </w:t>
      </w:r>
      <w:r w:rsidR="0051334C" w:rsidRPr="006476F7">
        <w:rPr>
          <w:rFonts w:cs="Times New Roman"/>
          <w:sz w:val="28"/>
          <w:szCs w:val="28"/>
          <w:lang w:val="kk-KZ"/>
        </w:rPr>
        <w:lastRenderedPageBreak/>
        <w:t>-</w:t>
      </w:r>
      <w:r w:rsidRPr="006476F7">
        <w:rPr>
          <w:rFonts w:cs="Times New Roman"/>
          <w:sz w:val="28"/>
          <w:szCs w:val="28"/>
          <w:lang w:val="kk-KZ"/>
        </w:rPr>
        <w:t xml:space="preserve"> генетикалық бейімділік, атап айтқанда, клопидогрельдің метаболизміне әсер ететін </w:t>
      </w:r>
      <w:r w:rsidRPr="006476F7">
        <w:rPr>
          <w:rFonts w:cs="Times New Roman"/>
          <w:i/>
          <w:iCs/>
          <w:sz w:val="28"/>
          <w:szCs w:val="28"/>
          <w:lang w:val="kk-KZ"/>
        </w:rPr>
        <w:t>CYP2C19</w:t>
      </w:r>
      <w:r w:rsidRPr="006476F7">
        <w:rPr>
          <w:rFonts w:cs="Times New Roman"/>
          <w:sz w:val="28"/>
          <w:szCs w:val="28"/>
          <w:lang w:val="kk-KZ"/>
        </w:rPr>
        <w:t> генінің полиморфизмдерінің болуы.</w:t>
      </w:r>
    </w:p>
    <w:p w14:paraId="4C941975" w14:textId="25A3CC85" w:rsidR="00642147" w:rsidRPr="006476F7" w:rsidRDefault="00642147" w:rsidP="005125F9">
      <w:pPr>
        <w:pStyle w:val="af"/>
        <w:spacing w:before="0" w:line="240" w:lineRule="auto"/>
        <w:rPr>
          <w:rFonts w:cs="Times New Roman"/>
          <w:sz w:val="28"/>
          <w:szCs w:val="28"/>
          <w:lang/>
        </w:rPr>
      </w:pPr>
      <w:r w:rsidRPr="006476F7">
        <w:rPr>
          <w:rFonts w:cs="Times New Roman"/>
          <w:sz w:val="28"/>
          <w:szCs w:val="28"/>
          <w:lang/>
        </w:rPr>
        <w:t>Жүрекше фибрилляциясынан (ЖФ) кейін тері арқылы коронарлық араласу (ТКА) жүргізілген науқастарға арналған антитромботикалық терапияның өзекті мәселелері – оның қауіпсіздігі мен тиімділігі болып табылады.</w:t>
      </w:r>
    </w:p>
    <w:p w14:paraId="68A18C05" w14:textId="77777777" w:rsidR="00642147" w:rsidRPr="006476F7" w:rsidRDefault="00642147" w:rsidP="005125F9">
      <w:pPr>
        <w:pStyle w:val="af"/>
        <w:spacing w:before="0" w:line="240" w:lineRule="auto"/>
        <w:rPr>
          <w:rFonts w:cs="Times New Roman"/>
          <w:sz w:val="28"/>
          <w:szCs w:val="28"/>
          <w:lang/>
        </w:rPr>
      </w:pPr>
      <w:r w:rsidRPr="006476F7">
        <w:rPr>
          <w:rFonts w:cs="Times New Roman"/>
          <w:sz w:val="28"/>
          <w:szCs w:val="28"/>
          <w:lang/>
        </w:rPr>
        <w:t>Осыған байланысты, қауіпсіздігі жоғары әрі тиімді емдеу режімдерін таңдау – ғылыми зерттеулер мен кәсіби талқылаулардың негізгі бағыттарының біріне айналып отыр, бұл тақырыптың өзектілігін айғақтайды.</w:t>
      </w:r>
    </w:p>
    <w:p w14:paraId="188598F3" w14:textId="77777777" w:rsidR="00642147" w:rsidRPr="006476F7" w:rsidRDefault="00642147" w:rsidP="005125F9">
      <w:pPr>
        <w:pStyle w:val="af"/>
        <w:spacing w:before="0" w:line="240" w:lineRule="auto"/>
        <w:rPr>
          <w:rFonts w:cs="Times New Roman"/>
          <w:sz w:val="28"/>
          <w:szCs w:val="28"/>
          <w:lang/>
        </w:rPr>
      </w:pPr>
      <w:r w:rsidRPr="006476F7">
        <w:rPr>
          <w:rFonts w:cs="Times New Roman"/>
          <w:sz w:val="28"/>
          <w:szCs w:val="28"/>
          <w:lang/>
        </w:rPr>
        <w:t>Бұл жұмыс «Семей медицина университеті» КеАҚ-ның ғылыми-педагог кадрларының стартап-жобаларын гранттық қаржыландыру аясында 2022–2025 жылдарға арналған «Жағдайласқан аурулары бар жедел коронарлық синдромнан кейін тері арқылы коронарлық араласу жасалған науқастарда антитромботикалық терапияны жетілдіру» тақырыбындағы ғылыми жоба шеңберінде орындалды.</w:t>
      </w:r>
    </w:p>
    <w:p w14:paraId="584962CA" w14:textId="77777777" w:rsidR="00642147" w:rsidRPr="006476F7" w:rsidRDefault="00642147" w:rsidP="005125F9">
      <w:pPr>
        <w:pStyle w:val="af"/>
        <w:spacing w:before="0" w:line="240" w:lineRule="auto"/>
        <w:rPr>
          <w:rFonts w:cs="Times New Roman"/>
          <w:sz w:val="28"/>
          <w:szCs w:val="28"/>
          <w:lang/>
        </w:rPr>
      </w:pPr>
      <w:r w:rsidRPr="006476F7">
        <w:rPr>
          <w:rFonts w:cs="Times New Roman"/>
          <w:sz w:val="28"/>
          <w:szCs w:val="28"/>
          <w:lang/>
        </w:rPr>
        <w:t>Сондай-ақ, ҚР ҒЖБМ Ғылым комитетінің 2024–2026 жылдарға арналған «Жас ғалым» жобасы аясында жас зерттеушілердің ғылыми зерттеулерін гранттық қаржыландыру арқылы қолдау тапты. Жобаның тақырыбы – ИРН AP22688229 «Жүрекше фибрилляциясынан кейін тері арқылы коронарлық араласу жүргізілген науқастарда антитромботикалық терапияның қауіпсіздігі мен тиімділігі</w:t>
      </w:r>
    </w:p>
    <w:p w14:paraId="26FA3653" w14:textId="57D5A16C" w:rsidR="00F27F88" w:rsidRPr="006476F7" w:rsidRDefault="00642147" w:rsidP="005125F9">
      <w:pPr>
        <w:pStyle w:val="af"/>
        <w:spacing w:before="0" w:line="240" w:lineRule="auto"/>
        <w:rPr>
          <w:rFonts w:cs="Times New Roman"/>
          <w:b/>
          <w:sz w:val="28"/>
          <w:szCs w:val="28"/>
          <w:lang/>
        </w:rPr>
      </w:pPr>
      <w:r w:rsidRPr="006476F7">
        <w:rPr>
          <w:rFonts w:cs="Times New Roman"/>
          <w:b/>
          <w:sz w:val="28"/>
          <w:szCs w:val="28"/>
          <w:lang w:val="kk-KZ"/>
        </w:rPr>
        <w:t>Зертеудің мақсаты</w:t>
      </w:r>
      <w:r w:rsidR="00F27F88" w:rsidRPr="006476F7">
        <w:rPr>
          <w:rFonts w:cs="Times New Roman"/>
          <w:b/>
          <w:sz w:val="28"/>
          <w:szCs w:val="28"/>
          <w:lang/>
        </w:rPr>
        <w:t xml:space="preserve">: </w:t>
      </w:r>
    </w:p>
    <w:p w14:paraId="3827ADDD" w14:textId="4CF92862" w:rsidR="00642147" w:rsidRPr="006476F7" w:rsidRDefault="00DC3C14" w:rsidP="005125F9">
      <w:pPr>
        <w:pStyle w:val="af"/>
        <w:spacing w:before="0" w:line="240" w:lineRule="auto"/>
        <w:rPr>
          <w:rFonts w:cs="Times New Roman"/>
          <w:bCs/>
          <w:sz w:val="28"/>
          <w:szCs w:val="28"/>
          <w:lang w:val="kk-KZ"/>
        </w:rPr>
      </w:pPr>
      <w:r w:rsidRPr="006476F7">
        <w:rPr>
          <w:rFonts w:cs="Times New Roman"/>
          <w:bCs/>
          <w:sz w:val="28"/>
          <w:szCs w:val="28"/>
          <w:lang/>
        </w:rPr>
        <w:t xml:space="preserve">Жедел коронарлық синдромы мен жүрекшелердің фибрилляциясынан кейінгі тері арқылы коронарлық араласу жасалған науқастардағы қолайсыз жүрек-қантамырлық оқиғалардың болжамын клинико-зертханалық деректерді, тромбоциттер функциясын және генотиптеуді кешенді бағалау негізінде жақсарту. </w:t>
      </w:r>
    </w:p>
    <w:p w14:paraId="4FEFEAF3" w14:textId="30B57D5E" w:rsidR="00F27F88" w:rsidRPr="006476F7" w:rsidRDefault="00642147" w:rsidP="005125F9">
      <w:pPr>
        <w:pStyle w:val="af"/>
        <w:spacing w:before="0" w:line="240" w:lineRule="auto"/>
        <w:rPr>
          <w:rFonts w:cs="Times New Roman"/>
          <w:b/>
          <w:sz w:val="28"/>
          <w:szCs w:val="28"/>
          <w:lang w:val="kk-KZ"/>
        </w:rPr>
      </w:pPr>
      <w:r w:rsidRPr="006476F7">
        <w:rPr>
          <w:rFonts w:cs="Times New Roman"/>
          <w:b/>
          <w:sz w:val="28"/>
          <w:szCs w:val="28"/>
          <w:lang w:val="kk-KZ"/>
        </w:rPr>
        <w:t>Зерттеудің міндеттері</w:t>
      </w:r>
      <w:r w:rsidR="00F27F88" w:rsidRPr="006476F7">
        <w:rPr>
          <w:rFonts w:cs="Times New Roman"/>
          <w:b/>
          <w:sz w:val="28"/>
          <w:szCs w:val="28"/>
          <w:lang w:val="kk-KZ"/>
        </w:rPr>
        <w:t>:</w:t>
      </w:r>
    </w:p>
    <w:p w14:paraId="726A37C9" w14:textId="174EBFF6" w:rsidR="00A934D1" w:rsidRPr="006476F7" w:rsidRDefault="00A934D1" w:rsidP="005125F9">
      <w:pPr>
        <w:pStyle w:val="af"/>
        <w:spacing w:before="0" w:line="240" w:lineRule="auto"/>
        <w:rPr>
          <w:rFonts w:cs="Times New Roman"/>
          <w:sz w:val="28"/>
          <w:szCs w:val="28"/>
          <w:lang w:val="kk-KZ"/>
        </w:rPr>
      </w:pPr>
      <w:r w:rsidRPr="006476F7">
        <w:rPr>
          <w:rFonts w:cs="Times New Roman"/>
          <w:sz w:val="28"/>
          <w:szCs w:val="28"/>
          <w:lang w:val="kk-KZ"/>
        </w:rPr>
        <w:t>1.</w:t>
      </w:r>
      <w:r w:rsidR="00642147" w:rsidRPr="006476F7">
        <w:rPr>
          <w:rFonts w:cs="Times New Roman"/>
          <w:color w:val="000000"/>
          <w:sz w:val="28"/>
          <w:szCs w:val="28"/>
          <w:lang w:val="kk-KZ"/>
        </w:rPr>
        <w:t xml:space="preserve"> </w:t>
      </w:r>
      <w:r w:rsidR="00DC3C14" w:rsidRPr="006476F7">
        <w:rPr>
          <w:rFonts w:cs="Times New Roman"/>
          <w:sz w:val="28"/>
          <w:szCs w:val="28"/>
          <w:lang w:val="kk-KZ"/>
        </w:rPr>
        <w:t xml:space="preserve">Жедел коронарлық синдромы және жүрекшелер фибрилляциясынан кейін </w:t>
      </w:r>
      <w:r w:rsidR="00DC3C14" w:rsidRPr="006476F7">
        <w:rPr>
          <w:rFonts w:cs="Times New Roman"/>
          <w:bCs/>
          <w:sz w:val="28"/>
          <w:szCs w:val="28"/>
          <w:lang/>
        </w:rPr>
        <w:t xml:space="preserve">тері арқылы </w:t>
      </w:r>
      <w:r w:rsidR="00DC3C14" w:rsidRPr="006476F7">
        <w:rPr>
          <w:rFonts w:cs="Times New Roman"/>
          <w:sz w:val="28"/>
          <w:szCs w:val="28"/>
          <w:lang w:val="kk-KZ"/>
        </w:rPr>
        <w:t>коронарлық араласу жасалған науқастарда жүрек-қантамырлық асқынулардың жиілігін анықтау, сондай-ақ олардың дамуының клинико-зертханалық факторларын айқындау.</w:t>
      </w:r>
    </w:p>
    <w:p w14:paraId="2C2192F1" w14:textId="1AFF83C8" w:rsidR="004B3870" w:rsidRPr="006476F7" w:rsidRDefault="00A934D1" w:rsidP="005125F9">
      <w:pPr>
        <w:pStyle w:val="af"/>
        <w:spacing w:before="0" w:line="240" w:lineRule="auto"/>
        <w:rPr>
          <w:rFonts w:cs="Times New Roman"/>
          <w:sz w:val="28"/>
          <w:szCs w:val="28"/>
          <w:lang w:val="kk-KZ"/>
        </w:rPr>
      </w:pPr>
      <w:r w:rsidRPr="006476F7">
        <w:rPr>
          <w:rFonts w:cs="Times New Roman"/>
          <w:sz w:val="28"/>
          <w:szCs w:val="28"/>
          <w:lang w:val="kk-KZ"/>
        </w:rPr>
        <w:t>2.</w:t>
      </w:r>
      <w:r w:rsidR="00DC3C14" w:rsidRPr="006476F7">
        <w:rPr>
          <w:rFonts w:cs="Times New Roman"/>
          <w:color w:val="000000"/>
          <w:sz w:val="28"/>
          <w:szCs w:val="28"/>
          <w:lang w:val="kk-KZ"/>
        </w:rPr>
        <w:t xml:space="preserve"> </w:t>
      </w:r>
      <w:r w:rsidR="00DC3C14" w:rsidRPr="006476F7">
        <w:rPr>
          <w:rFonts w:cs="Times New Roman"/>
          <w:sz w:val="28"/>
          <w:szCs w:val="28"/>
          <w:lang w:val="kk-KZ"/>
        </w:rPr>
        <w:t>Зерттелетін популяцияда тромбоциттердің қалдық реактивтілігін, CYP2C19 генінің полиморфизмдері (CYP2C19</w:t>
      </w:r>
      <w:r w:rsidR="00DC3C14" w:rsidRPr="006476F7">
        <w:rPr>
          <w:rFonts w:cs="Times New Roman"/>
          <w:i/>
          <w:iCs/>
          <w:sz w:val="28"/>
          <w:szCs w:val="28"/>
          <w:lang w:val="kk-KZ"/>
        </w:rPr>
        <w:t>2 (G681A), CYP2C19</w:t>
      </w:r>
      <w:r w:rsidR="00DC3C14" w:rsidRPr="006476F7">
        <w:rPr>
          <w:rFonts w:cs="Times New Roman"/>
          <w:sz w:val="28"/>
          <w:szCs w:val="28"/>
          <w:lang w:val="kk-KZ"/>
        </w:rPr>
        <w:t>3 (Trp212Ter)) тасымалдаушылығының таралуын және олардың корреляциялық байланыстарын анықтау.</w:t>
      </w:r>
    </w:p>
    <w:p w14:paraId="319A46E1" w14:textId="25A0D400" w:rsidR="004B3870" w:rsidRPr="006476F7" w:rsidRDefault="00A934D1" w:rsidP="005125F9">
      <w:pPr>
        <w:pStyle w:val="af"/>
        <w:spacing w:before="0" w:line="240" w:lineRule="auto"/>
        <w:rPr>
          <w:rFonts w:cs="Times New Roman"/>
          <w:sz w:val="28"/>
          <w:szCs w:val="28"/>
          <w:lang w:val="kk-KZ"/>
        </w:rPr>
      </w:pPr>
      <w:r w:rsidRPr="006476F7">
        <w:rPr>
          <w:rFonts w:cs="Times New Roman"/>
          <w:sz w:val="28"/>
          <w:szCs w:val="28"/>
          <w:lang w:val="kk-KZ"/>
        </w:rPr>
        <w:t>3.</w:t>
      </w:r>
      <w:r w:rsidR="004B3870" w:rsidRPr="006476F7">
        <w:rPr>
          <w:rFonts w:cs="Times New Roman"/>
          <w:color w:val="000000"/>
          <w:sz w:val="28"/>
          <w:szCs w:val="28"/>
          <w:lang w:val="kk-KZ"/>
        </w:rPr>
        <w:t xml:space="preserve"> </w:t>
      </w:r>
      <w:r w:rsidR="00DC3C14" w:rsidRPr="006476F7">
        <w:rPr>
          <w:rFonts w:cs="Times New Roman"/>
          <w:sz w:val="28"/>
          <w:szCs w:val="28"/>
          <w:lang w:val="kk-KZ"/>
        </w:rPr>
        <w:t xml:space="preserve">Жедел коронарлық синдромы және жүрекшелер фибрилляциясынан кейін </w:t>
      </w:r>
      <w:r w:rsidR="00DC3C14" w:rsidRPr="006476F7">
        <w:rPr>
          <w:rFonts w:cs="Times New Roman"/>
          <w:bCs/>
          <w:sz w:val="28"/>
          <w:szCs w:val="28"/>
          <w:lang/>
        </w:rPr>
        <w:t xml:space="preserve">тері арқылы </w:t>
      </w:r>
      <w:r w:rsidR="00DC3C14" w:rsidRPr="006476F7">
        <w:rPr>
          <w:rFonts w:cs="Times New Roman"/>
          <w:sz w:val="28"/>
          <w:szCs w:val="28"/>
          <w:lang w:val="kk-KZ"/>
        </w:rPr>
        <w:t>коронарлық араласу жасалған науқастарда ишемиялық және геморрагиялық асқынулардың даму қаупін болжауға арналған прогностикалық шкалаларды құрастыру (тромбоциттер функциясын тестілеу және фармакогенетикалық талдауды қоса отырып).</w:t>
      </w:r>
    </w:p>
    <w:p w14:paraId="5975DF90" w14:textId="2952AA27" w:rsidR="004B3870" w:rsidRPr="006476F7" w:rsidRDefault="00A934D1" w:rsidP="005125F9">
      <w:pPr>
        <w:pStyle w:val="af"/>
        <w:spacing w:before="0" w:line="240" w:lineRule="auto"/>
        <w:rPr>
          <w:rFonts w:cs="Times New Roman"/>
          <w:sz w:val="28"/>
          <w:szCs w:val="28"/>
          <w:lang w:val="kk-KZ"/>
        </w:rPr>
      </w:pPr>
      <w:r w:rsidRPr="006476F7">
        <w:rPr>
          <w:rFonts w:cs="Times New Roman"/>
          <w:sz w:val="28"/>
          <w:szCs w:val="28"/>
          <w:lang w:val="kk-KZ"/>
        </w:rPr>
        <w:lastRenderedPageBreak/>
        <w:t>4.</w:t>
      </w:r>
      <w:r w:rsidR="004B3870" w:rsidRPr="006476F7">
        <w:rPr>
          <w:rFonts w:cs="Times New Roman"/>
          <w:color w:val="000000"/>
          <w:sz w:val="28"/>
          <w:szCs w:val="28"/>
          <w:lang w:val="kk-KZ"/>
        </w:rPr>
        <w:t xml:space="preserve"> </w:t>
      </w:r>
      <w:r w:rsidR="00DC3C14" w:rsidRPr="006476F7">
        <w:rPr>
          <w:rFonts w:cs="Times New Roman"/>
          <w:sz w:val="28"/>
          <w:szCs w:val="28"/>
          <w:lang w:val="kk-KZ"/>
        </w:rPr>
        <w:t xml:space="preserve">Жедел коронарлық синдромы және жүрекшелер фибрилляциясынан кейін </w:t>
      </w:r>
      <w:r w:rsidR="00DC3C14" w:rsidRPr="006476F7">
        <w:rPr>
          <w:rFonts w:cs="Times New Roman"/>
          <w:bCs/>
          <w:sz w:val="28"/>
          <w:szCs w:val="28"/>
          <w:lang/>
        </w:rPr>
        <w:t xml:space="preserve">тері арқылы </w:t>
      </w:r>
      <w:r w:rsidR="00DC3C14" w:rsidRPr="006476F7">
        <w:rPr>
          <w:rFonts w:cs="Times New Roman"/>
          <w:sz w:val="28"/>
          <w:szCs w:val="28"/>
          <w:lang w:val="kk-KZ"/>
        </w:rPr>
        <w:t>коронарлық араласу жасалған науқастарда антитромботикалық терапияға дербестендірілген тәсілдің алгоритмін әзірлеу.</w:t>
      </w:r>
    </w:p>
    <w:p w14:paraId="30FC0126" w14:textId="77777777" w:rsidR="004B3870" w:rsidRPr="006476F7" w:rsidRDefault="004B3870" w:rsidP="005125F9">
      <w:pPr>
        <w:pStyle w:val="af"/>
        <w:spacing w:before="0" w:line="240" w:lineRule="auto"/>
        <w:rPr>
          <w:rFonts w:cs="Times New Roman"/>
          <w:bCs/>
          <w:sz w:val="28"/>
          <w:szCs w:val="28"/>
          <w:lang w:val="kk-KZ"/>
        </w:rPr>
      </w:pPr>
      <w:r w:rsidRPr="006476F7">
        <w:rPr>
          <w:rFonts w:cs="Times New Roman"/>
          <w:bCs/>
          <w:sz w:val="28"/>
          <w:szCs w:val="28"/>
          <w:lang w:val="kk-KZ"/>
        </w:rPr>
        <w:t>Зерттеу объектісі мен пәні</w:t>
      </w:r>
    </w:p>
    <w:p w14:paraId="4243B8B5" w14:textId="419C35C2" w:rsidR="00DC3C14" w:rsidRPr="006476F7" w:rsidRDefault="00DC3C14" w:rsidP="005125F9">
      <w:pPr>
        <w:pStyle w:val="af"/>
        <w:spacing w:before="0" w:line="240" w:lineRule="auto"/>
        <w:rPr>
          <w:rFonts w:cs="Times New Roman"/>
          <w:bCs/>
          <w:sz w:val="28"/>
          <w:szCs w:val="28"/>
          <w:lang/>
        </w:rPr>
      </w:pPr>
      <w:r w:rsidRPr="006476F7">
        <w:rPr>
          <w:rFonts w:cs="Times New Roman"/>
          <w:bCs/>
          <w:sz w:val="28"/>
          <w:szCs w:val="28"/>
          <w:lang/>
        </w:rPr>
        <w:t>Зерттеу объектісі – жедел коронарлық синдромы және жүрекшелердің фибрилляциясы бар, тері арқылы коронарлық араласу жасалған науқастар.</w:t>
      </w:r>
    </w:p>
    <w:p w14:paraId="3B11C694" w14:textId="620B1ABE" w:rsidR="00DC3C14" w:rsidRPr="006476F7" w:rsidRDefault="00DC3C14" w:rsidP="005125F9">
      <w:pPr>
        <w:pStyle w:val="af"/>
        <w:spacing w:before="0" w:line="240" w:lineRule="auto"/>
        <w:rPr>
          <w:rFonts w:cs="Times New Roman"/>
          <w:bCs/>
          <w:sz w:val="28"/>
          <w:szCs w:val="28"/>
          <w:lang/>
        </w:rPr>
      </w:pPr>
      <w:r w:rsidRPr="006476F7">
        <w:rPr>
          <w:rFonts w:cs="Times New Roman"/>
          <w:bCs/>
          <w:sz w:val="28"/>
          <w:szCs w:val="28"/>
          <w:lang/>
        </w:rPr>
        <w:t>Зерттеу пәні – осы санаттағы науқастарда қолайсыз жүрек-қантамырлық оқиғалардың (ишемиялық және геморрагиялық) дамуына әсер ететін клинико-зертханалық көрсеткіштер, тромбоциттер функциясының параметрлері және генетикалық факторлар, сондай-ақ антитромботикалық терапияға дербестендірілген тәсілдің тиімділігі.</w:t>
      </w:r>
    </w:p>
    <w:p w14:paraId="37FA4EBB" w14:textId="7C1B2201" w:rsidR="00D5125E" w:rsidRPr="006476F7" w:rsidRDefault="004B3870" w:rsidP="005125F9">
      <w:pPr>
        <w:pStyle w:val="af"/>
        <w:spacing w:before="0" w:line="240" w:lineRule="auto"/>
        <w:rPr>
          <w:rFonts w:cs="Times New Roman"/>
          <w:b/>
          <w:bCs/>
          <w:sz w:val="28"/>
          <w:szCs w:val="28"/>
          <w:lang/>
        </w:rPr>
      </w:pPr>
      <w:r w:rsidRPr="006476F7">
        <w:rPr>
          <w:rFonts w:cs="Times New Roman"/>
          <w:b/>
          <w:bCs/>
          <w:sz w:val="28"/>
          <w:szCs w:val="28"/>
          <w:lang/>
        </w:rPr>
        <w:t>Зерттеу әдістері</w:t>
      </w:r>
    </w:p>
    <w:p w14:paraId="26F36893" w14:textId="77777777" w:rsidR="004B3870" w:rsidRPr="006476F7" w:rsidRDefault="004B3870" w:rsidP="005125F9">
      <w:pPr>
        <w:pStyle w:val="af"/>
        <w:spacing w:before="0" w:line="240" w:lineRule="auto"/>
        <w:rPr>
          <w:rFonts w:cs="Times New Roman"/>
          <w:sz w:val="28"/>
          <w:szCs w:val="28"/>
          <w:lang/>
        </w:rPr>
      </w:pPr>
      <w:r w:rsidRPr="006476F7">
        <w:rPr>
          <w:rFonts w:cs="Times New Roman"/>
          <w:sz w:val="28"/>
          <w:szCs w:val="28"/>
          <w:lang/>
        </w:rPr>
        <w:t>Зерттеліп отырған науқастар тобында тромбоциттердің қалдық реактивтілігі (ТҚР) мен агрегация қисығы астындағы ауданды (AUC) бағалау Helena BioSciences компаниясының AggRAM агрегометрі көмегімен жүргізілді. </w:t>
      </w:r>
      <w:r w:rsidRPr="006476F7">
        <w:rPr>
          <w:rFonts w:cs="Times New Roman"/>
          <w:i/>
          <w:iCs/>
          <w:sz w:val="28"/>
          <w:szCs w:val="28"/>
          <w:lang/>
        </w:rPr>
        <w:t>CYP2C19</w:t>
      </w:r>
      <w:r w:rsidRPr="006476F7">
        <w:rPr>
          <w:rFonts w:cs="Times New Roman"/>
          <w:sz w:val="28"/>
          <w:szCs w:val="28"/>
          <w:lang/>
        </w:rPr>
        <w:t>2 және </w:t>
      </w:r>
      <w:r w:rsidRPr="006476F7">
        <w:rPr>
          <w:rFonts w:cs="Times New Roman"/>
          <w:i/>
          <w:iCs/>
          <w:sz w:val="28"/>
          <w:szCs w:val="28"/>
          <w:lang/>
        </w:rPr>
        <w:t>CYP2C19</w:t>
      </w:r>
      <w:r w:rsidRPr="006476F7">
        <w:rPr>
          <w:rFonts w:cs="Times New Roman"/>
          <w:sz w:val="28"/>
          <w:szCs w:val="28"/>
          <w:lang/>
        </w:rPr>
        <w:t>3 полиморфизмдерінің тасымалдануын нақты уақыт тәртібінде жүретін полимеразды тізбекті реакция (ПТР) әдісімен анықтады. Генотиптеу жұмыстары Алматы қаласындағы «TreeGene» ПТР зертханасының базасында жүргізілді.</w:t>
      </w:r>
    </w:p>
    <w:p w14:paraId="62FFA438" w14:textId="77777777" w:rsidR="004B3870" w:rsidRPr="006476F7" w:rsidRDefault="004B3870" w:rsidP="005125F9">
      <w:pPr>
        <w:pStyle w:val="af"/>
        <w:spacing w:before="0" w:line="240" w:lineRule="auto"/>
        <w:rPr>
          <w:rFonts w:cs="Times New Roman"/>
          <w:sz w:val="28"/>
          <w:szCs w:val="28"/>
          <w:lang/>
        </w:rPr>
      </w:pPr>
      <w:r w:rsidRPr="006476F7">
        <w:rPr>
          <w:rFonts w:cs="Times New Roman"/>
          <w:sz w:val="28"/>
          <w:szCs w:val="28"/>
          <w:lang/>
        </w:rPr>
        <w:t>Қайталама ишемиялық оқиғалар тіркелген науқастарда терапияға бейімділікті бағалау үшін Мориски-Гриннің валидацияланған сауалнамасы қолданылды. Бір жылдық бақылау кезеңінде тіркелген халық регистрі (ТХР) деректері негізінде өмір сүру көрсеткіштерінің салыстырмалы талдауы жүргізілді.</w:t>
      </w:r>
    </w:p>
    <w:p w14:paraId="044BE9DD" w14:textId="77777777" w:rsidR="004B3870" w:rsidRPr="006476F7" w:rsidRDefault="004B3870" w:rsidP="005125F9">
      <w:pPr>
        <w:pStyle w:val="af"/>
        <w:spacing w:before="0" w:line="240" w:lineRule="auto"/>
        <w:rPr>
          <w:rFonts w:cs="Times New Roman"/>
          <w:sz w:val="28"/>
          <w:szCs w:val="28"/>
          <w:lang/>
        </w:rPr>
      </w:pPr>
      <w:r w:rsidRPr="006476F7">
        <w:rPr>
          <w:rFonts w:cs="Times New Roman"/>
          <w:sz w:val="28"/>
          <w:szCs w:val="28"/>
          <w:lang/>
        </w:rPr>
        <w:t>Статистикалық деректерді өңдеу Excel, SPSS және STATTECH бағдарламалары көмегімен жүзеге асырылды, айырмашылықтардың дұрыстығын бағалау критерийлері есептеліп, болжамдық модельдер құрылды.</w:t>
      </w:r>
    </w:p>
    <w:p w14:paraId="7CC2AB11" w14:textId="2E228742" w:rsidR="005D5E33" w:rsidRPr="006476F7" w:rsidRDefault="004B3870" w:rsidP="005125F9">
      <w:pPr>
        <w:pStyle w:val="af"/>
        <w:spacing w:before="0" w:line="240" w:lineRule="auto"/>
        <w:rPr>
          <w:rFonts w:cs="Times New Roman"/>
          <w:b/>
          <w:sz w:val="28"/>
          <w:szCs w:val="28"/>
          <w:lang/>
        </w:rPr>
      </w:pPr>
      <w:r w:rsidRPr="006476F7">
        <w:rPr>
          <w:rFonts w:cs="Times New Roman"/>
          <w:b/>
          <w:sz w:val="28"/>
          <w:szCs w:val="28"/>
          <w:lang w:val="kk-KZ"/>
        </w:rPr>
        <w:t>Ғылыми жаңалығы</w:t>
      </w:r>
      <w:r w:rsidR="005D5E33" w:rsidRPr="006476F7">
        <w:rPr>
          <w:rFonts w:cs="Times New Roman"/>
          <w:b/>
          <w:sz w:val="28"/>
          <w:szCs w:val="28"/>
          <w:lang/>
        </w:rPr>
        <w:t>:</w:t>
      </w:r>
    </w:p>
    <w:p w14:paraId="5C99A8D8" w14:textId="44B16718" w:rsidR="00DC3C14" w:rsidRPr="006476F7" w:rsidRDefault="00DC3C14" w:rsidP="005125F9">
      <w:pPr>
        <w:pStyle w:val="af"/>
        <w:spacing w:before="0" w:line="240" w:lineRule="auto"/>
        <w:rPr>
          <w:rFonts w:cs="Times New Roman"/>
          <w:sz w:val="28"/>
          <w:szCs w:val="28"/>
          <w:shd w:val="clear" w:color="auto" w:fill="FFFFFF"/>
          <w:lang/>
        </w:rPr>
      </w:pPr>
      <w:r w:rsidRPr="006476F7">
        <w:rPr>
          <w:rFonts w:cs="Times New Roman"/>
          <w:sz w:val="28"/>
          <w:szCs w:val="28"/>
          <w:shd w:val="clear" w:color="auto" w:fill="FFFFFF"/>
          <w:lang/>
        </w:rPr>
        <w:t>Алғаш рет жедел коронарлық синдромы және жүрекшелердің фибрилляциясы бар, тер</w:t>
      </w:r>
      <w:r w:rsidRPr="006476F7">
        <w:rPr>
          <w:rFonts w:cs="Times New Roman"/>
          <w:sz w:val="28"/>
          <w:szCs w:val="28"/>
          <w:shd w:val="clear" w:color="auto" w:fill="FFFFFF"/>
          <w:lang w:val="kk-KZ"/>
        </w:rPr>
        <w:t xml:space="preserve">і арқылы </w:t>
      </w:r>
      <w:r w:rsidRPr="006476F7">
        <w:rPr>
          <w:rFonts w:cs="Times New Roman"/>
          <w:sz w:val="28"/>
          <w:szCs w:val="28"/>
          <w:shd w:val="clear" w:color="auto" w:fill="FFFFFF"/>
          <w:lang/>
        </w:rPr>
        <w:t>коронарлық араласу жасалған науқастардағы қолайсыз жүрек-қантамырлық оқиғалардың предикторлары анықталды. Авторлық куәлік № 37342 (Қосымша А).</w:t>
      </w:r>
    </w:p>
    <w:p w14:paraId="0DEF42C9" w14:textId="4EA7D898" w:rsidR="00DC3C14" w:rsidRPr="006476F7" w:rsidRDefault="00DC3C14" w:rsidP="005125F9">
      <w:pPr>
        <w:pStyle w:val="af"/>
        <w:spacing w:before="0" w:line="240" w:lineRule="auto"/>
        <w:rPr>
          <w:rFonts w:cs="Times New Roman"/>
          <w:sz w:val="28"/>
          <w:szCs w:val="28"/>
          <w:shd w:val="clear" w:color="auto" w:fill="FFFFFF"/>
          <w:lang/>
        </w:rPr>
      </w:pPr>
      <w:r w:rsidRPr="006476F7">
        <w:rPr>
          <w:rFonts w:cs="Times New Roman"/>
          <w:sz w:val="28"/>
          <w:szCs w:val="28"/>
          <w:shd w:val="clear" w:color="auto" w:fill="FFFFFF"/>
          <w:lang/>
        </w:rPr>
        <w:t>Алғаш рет жедел коронарлық синдромы және жүрекшелердің фибрилляциясы бар науқастарда тер</w:t>
      </w:r>
      <w:r w:rsidRPr="006476F7">
        <w:rPr>
          <w:rFonts w:cs="Times New Roman"/>
          <w:sz w:val="28"/>
          <w:szCs w:val="28"/>
          <w:shd w:val="clear" w:color="auto" w:fill="FFFFFF"/>
          <w:lang w:val="kk-KZ"/>
        </w:rPr>
        <w:t xml:space="preserve">і арқылы </w:t>
      </w:r>
      <w:r w:rsidRPr="006476F7">
        <w:rPr>
          <w:rFonts w:cs="Times New Roman"/>
          <w:sz w:val="28"/>
          <w:szCs w:val="28"/>
          <w:shd w:val="clear" w:color="auto" w:fill="FFFFFF"/>
          <w:lang/>
        </w:rPr>
        <w:t>коронарлық араласудан кейін CYP2C19 генінің полиморфизмдері (CYP2C19</w:t>
      </w:r>
      <w:r w:rsidRPr="006476F7">
        <w:rPr>
          <w:rFonts w:cs="Times New Roman"/>
          <w:i/>
          <w:iCs/>
          <w:sz w:val="28"/>
          <w:szCs w:val="28"/>
          <w:shd w:val="clear" w:color="auto" w:fill="FFFFFF"/>
          <w:lang/>
        </w:rPr>
        <w:t>2 (G681A), CYP2C19</w:t>
      </w:r>
      <w:r w:rsidRPr="006476F7">
        <w:rPr>
          <w:rFonts w:cs="Times New Roman"/>
          <w:sz w:val="28"/>
          <w:szCs w:val="28"/>
          <w:shd w:val="clear" w:color="auto" w:fill="FFFFFF"/>
          <w:lang/>
        </w:rPr>
        <w:t>3 (Trp212Ter)) тасымалдаушылығының жиілігі және олардың клопидогрел қабылдау аясындағы тромбоциттердің қалдық реактивтілігімен корреляциялық байланыстары анықталды. Авторлық куәлік № 56877 (Қосымша А).</w:t>
      </w:r>
    </w:p>
    <w:p w14:paraId="2EE1C41B" w14:textId="06509776" w:rsidR="00DC3C14" w:rsidRPr="006476F7" w:rsidRDefault="00DC3C14" w:rsidP="005125F9">
      <w:pPr>
        <w:pStyle w:val="af"/>
        <w:spacing w:before="0" w:line="240" w:lineRule="auto"/>
        <w:rPr>
          <w:rFonts w:cs="Times New Roman"/>
          <w:sz w:val="28"/>
          <w:szCs w:val="28"/>
          <w:shd w:val="clear" w:color="auto" w:fill="FFFFFF"/>
          <w:lang/>
        </w:rPr>
      </w:pPr>
      <w:r w:rsidRPr="006476F7">
        <w:rPr>
          <w:rFonts w:cs="Times New Roman"/>
          <w:sz w:val="28"/>
          <w:szCs w:val="28"/>
          <w:shd w:val="clear" w:color="auto" w:fill="FFFFFF"/>
          <w:lang/>
        </w:rPr>
        <w:lastRenderedPageBreak/>
        <w:t>Алғаш рет жедел коронарлық синдромы және жүрекшелердің фибрилляциясы бар науқастарда чрескожды коронарлық араласудан кейін ишемиялық және геморрагиялық асқынулар қаупін бағалауға арналған прогностикалық шкалалар жасалды. Енгізу актісі (Қосымша Б).</w:t>
      </w:r>
    </w:p>
    <w:p w14:paraId="4FFE8838" w14:textId="41F879B6" w:rsidR="004B3870" w:rsidRPr="006476F7" w:rsidRDefault="00DC3C14" w:rsidP="005125F9">
      <w:pPr>
        <w:pStyle w:val="af"/>
        <w:spacing w:before="0" w:line="240" w:lineRule="auto"/>
        <w:rPr>
          <w:rFonts w:cs="Times New Roman"/>
          <w:sz w:val="28"/>
          <w:szCs w:val="28"/>
          <w:shd w:val="clear" w:color="auto" w:fill="FFFFFF"/>
          <w:lang/>
        </w:rPr>
      </w:pPr>
      <w:r w:rsidRPr="006476F7">
        <w:rPr>
          <w:rFonts w:cs="Times New Roman"/>
          <w:sz w:val="28"/>
          <w:szCs w:val="28"/>
          <w:shd w:val="clear" w:color="auto" w:fill="FFFFFF"/>
          <w:lang/>
        </w:rPr>
        <w:t>Алғаш рет жедел коронарлық синдромы және жүрекшелердің фибрилляциясы бар науқастарда чрескожды коронарлық араласудан кейін антитромботикалық терапияға дербестендірілген тәсілдің алгоритмі әзірленді. Бұл алгоритм клинико-зертханалық көрсеткіштердің кешенді бағасына, тромбоцит функциясын тестілеуге және CYP2C19 генінің аллельдік варианттарын (CYP2C19</w:t>
      </w:r>
      <w:r w:rsidRPr="006476F7">
        <w:rPr>
          <w:rFonts w:cs="Times New Roman"/>
          <w:i/>
          <w:iCs/>
          <w:sz w:val="28"/>
          <w:szCs w:val="28"/>
          <w:shd w:val="clear" w:color="auto" w:fill="FFFFFF"/>
          <w:lang/>
        </w:rPr>
        <w:t>2 (G681A), CYP2C19</w:t>
      </w:r>
      <w:r w:rsidRPr="006476F7">
        <w:rPr>
          <w:rFonts w:cs="Times New Roman"/>
          <w:sz w:val="28"/>
          <w:szCs w:val="28"/>
          <w:shd w:val="clear" w:color="auto" w:fill="FFFFFF"/>
          <w:lang/>
        </w:rPr>
        <w:t>3 (Trp212Ter)) фармакогенетикалық талдауына негізделді.</w:t>
      </w:r>
    </w:p>
    <w:p w14:paraId="27DC95C3" w14:textId="0209823C" w:rsidR="003E707C" w:rsidRPr="006476F7" w:rsidRDefault="003E707C" w:rsidP="005125F9">
      <w:pPr>
        <w:pStyle w:val="af"/>
        <w:spacing w:before="0" w:line="240" w:lineRule="auto"/>
        <w:rPr>
          <w:rFonts w:cs="Times New Roman"/>
          <w:b/>
          <w:sz w:val="28"/>
          <w:szCs w:val="28"/>
          <w:lang/>
        </w:rPr>
      </w:pPr>
      <w:r w:rsidRPr="006476F7">
        <w:rPr>
          <w:rFonts w:cs="Times New Roman"/>
          <w:b/>
          <w:sz w:val="28"/>
          <w:szCs w:val="28"/>
          <w:lang/>
        </w:rPr>
        <w:t>Практи</w:t>
      </w:r>
      <w:r w:rsidR="004B3870" w:rsidRPr="006476F7">
        <w:rPr>
          <w:rFonts w:cs="Times New Roman"/>
          <w:b/>
          <w:sz w:val="28"/>
          <w:szCs w:val="28"/>
          <w:lang w:val="kk-KZ"/>
        </w:rPr>
        <w:t>калық маңыздылығы</w:t>
      </w:r>
      <w:r w:rsidRPr="006476F7">
        <w:rPr>
          <w:rFonts w:cs="Times New Roman"/>
          <w:b/>
          <w:sz w:val="28"/>
          <w:szCs w:val="28"/>
          <w:lang/>
        </w:rPr>
        <w:t>:</w:t>
      </w:r>
    </w:p>
    <w:p w14:paraId="647FE883" w14:textId="51D4A0C9" w:rsidR="004B3870" w:rsidRPr="006476F7" w:rsidRDefault="00DC3C14" w:rsidP="005125F9">
      <w:pPr>
        <w:pStyle w:val="a6"/>
        <w:keepNext/>
        <w:keepLines/>
        <w:numPr>
          <w:ilvl w:val="0"/>
          <w:numId w:val="7"/>
        </w:numPr>
        <w:spacing w:after="120" w:line="240" w:lineRule="auto"/>
        <w:ind w:left="284"/>
        <w:jc w:val="both"/>
        <w:outlineLvl w:val="1"/>
        <w:rPr>
          <w:rFonts w:ascii="Times New Roman" w:hAnsi="Times New Roman" w:cs="Times New Roman"/>
          <w:sz w:val="28"/>
          <w:szCs w:val="28"/>
          <w:lang/>
        </w:rPr>
      </w:pPr>
      <w:bookmarkStart w:id="0" w:name="_Toc197862291"/>
      <w:r w:rsidRPr="006476F7">
        <w:rPr>
          <w:rFonts w:ascii="Times New Roman" w:hAnsi="Times New Roman" w:cs="Times New Roman"/>
          <w:sz w:val="28"/>
          <w:szCs w:val="28"/>
          <w:lang/>
        </w:rPr>
        <w:t xml:space="preserve">Жедел коронарлық синдромы және жүрекшелердің фибрилляциясы бар, </w:t>
      </w:r>
      <w:r w:rsidR="0046216F" w:rsidRPr="006476F7">
        <w:rPr>
          <w:rFonts w:ascii="Times New Roman" w:hAnsi="Times New Roman" w:cs="Times New Roman"/>
          <w:sz w:val="28"/>
          <w:szCs w:val="28"/>
          <w:lang/>
        </w:rPr>
        <w:t>тері арқылы</w:t>
      </w:r>
      <w:r w:rsidRPr="006476F7">
        <w:rPr>
          <w:rFonts w:ascii="Times New Roman" w:hAnsi="Times New Roman" w:cs="Times New Roman"/>
          <w:sz w:val="28"/>
          <w:szCs w:val="28"/>
          <w:lang/>
        </w:rPr>
        <w:t xml:space="preserve"> коронарлық араласу жасалған науқастарда антитромботикалық терапияға дербестендірілген тәсілдің алгоритмі әзірленіп, клиникалық практикаға енгізілді. Бұл алгоритм клинико-зертханалық көрсеткіштердің кешенді бағасына, тромбоцит</w:t>
      </w:r>
      <w:r w:rsidR="0046216F" w:rsidRPr="006476F7">
        <w:rPr>
          <w:rFonts w:ascii="Times New Roman" w:hAnsi="Times New Roman" w:cs="Times New Roman"/>
          <w:sz w:val="28"/>
          <w:szCs w:val="28"/>
          <w:lang/>
        </w:rPr>
        <w:t>тер</w:t>
      </w:r>
      <w:r w:rsidRPr="006476F7">
        <w:rPr>
          <w:rFonts w:ascii="Times New Roman" w:hAnsi="Times New Roman" w:cs="Times New Roman"/>
          <w:sz w:val="28"/>
          <w:szCs w:val="28"/>
          <w:lang/>
        </w:rPr>
        <w:t xml:space="preserve"> функциясын тестілеуге және CYP2C19 генінің полиморфизмдерін (CYP2C19</w:t>
      </w:r>
      <w:r w:rsidRPr="006476F7">
        <w:rPr>
          <w:rFonts w:ascii="Times New Roman" w:hAnsi="Times New Roman" w:cs="Times New Roman"/>
          <w:i/>
          <w:iCs/>
          <w:sz w:val="28"/>
          <w:szCs w:val="28"/>
          <w:lang/>
        </w:rPr>
        <w:t>2 (G681A), CYP2C19</w:t>
      </w:r>
      <w:r w:rsidRPr="006476F7">
        <w:rPr>
          <w:rFonts w:ascii="Times New Roman" w:hAnsi="Times New Roman" w:cs="Times New Roman"/>
          <w:sz w:val="28"/>
          <w:szCs w:val="28"/>
          <w:lang/>
        </w:rPr>
        <w:t>3 (Trp212Ter)) фармакогенетикалық талдауына негізделген.</w:t>
      </w:r>
      <w:r w:rsidR="0046216F" w:rsidRPr="006476F7">
        <w:rPr>
          <w:rFonts w:ascii="Times New Roman" w:hAnsi="Times New Roman" w:cs="Times New Roman"/>
          <w:sz w:val="28"/>
          <w:szCs w:val="28"/>
          <w:lang/>
        </w:rPr>
        <w:t xml:space="preserve"> </w:t>
      </w:r>
      <w:r w:rsidRPr="006476F7">
        <w:rPr>
          <w:rFonts w:ascii="Times New Roman" w:hAnsi="Times New Roman" w:cs="Times New Roman"/>
          <w:sz w:val="28"/>
          <w:szCs w:val="28"/>
          <w:lang/>
        </w:rPr>
        <w:t>Енгізу актісі (Қосымша Б).</w:t>
      </w:r>
    </w:p>
    <w:p w14:paraId="1EDD4FBC" w14:textId="13EC85DD" w:rsidR="0046216F" w:rsidRPr="006476F7" w:rsidRDefault="0046216F" w:rsidP="005125F9">
      <w:pPr>
        <w:pStyle w:val="a6"/>
        <w:keepNext/>
        <w:keepLines/>
        <w:numPr>
          <w:ilvl w:val="0"/>
          <w:numId w:val="7"/>
        </w:numPr>
        <w:spacing w:after="120" w:line="240" w:lineRule="auto"/>
        <w:ind w:left="284"/>
        <w:jc w:val="both"/>
        <w:outlineLvl w:val="1"/>
        <w:rPr>
          <w:rFonts w:ascii="Times New Roman" w:hAnsi="Times New Roman" w:cs="Times New Roman"/>
          <w:sz w:val="28"/>
          <w:szCs w:val="28"/>
          <w:lang/>
        </w:rPr>
      </w:pPr>
      <w:r w:rsidRPr="006476F7">
        <w:rPr>
          <w:rFonts w:ascii="Times New Roman" w:hAnsi="Times New Roman" w:cs="Times New Roman"/>
          <w:sz w:val="28"/>
          <w:szCs w:val="28"/>
          <w:lang/>
        </w:rPr>
        <w:t xml:space="preserve">Әзірленген алгоритм антитромботикалық терапияның эскалациясы мен деэскалациясын жүзеге асыру үшін қолданылып, тромбоциттердің қалдық реактивтілігінің деңгейіне және науқастың генетикалық ерекшеліктеріне байланысты антитромботикалық емдеу сызбаларының қарқындылығы мен ұзақтығын дербес таңдауды қамтамасыз етті. </w:t>
      </w:r>
      <w:proofErr w:type="spellStart"/>
      <w:r w:rsidRPr="006476F7">
        <w:rPr>
          <w:rFonts w:ascii="Times New Roman" w:hAnsi="Times New Roman" w:cs="Times New Roman"/>
          <w:sz w:val="28"/>
          <w:szCs w:val="28"/>
        </w:rPr>
        <w:t>Енгізу</w:t>
      </w:r>
      <w:proofErr w:type="spellEnd"/>
      <w:r w:rsidRPr="006476F7">
        <w:rPr>
          <w:rFonts w:ascii="Times New Roman" w:hAnsi="Times New Roman" w:cs="Times New Roman"/>
          <w:sz w:val="28"/>
          <w:szCs w:val="28"/>
        </w:rPr>
        <w:t xml:space="preserve"> </w:t>
      </w:r>
      <w:proofErr w:type="spellStart"/>
      <w:r w:rsidRPr="006476F7">
        <w:rPr>
          <w:rFonts w:ascii="Times New Roman" w:hAnsi="Times New Roman" w:cs="Times New Roman"/>
          <w:sz w:val="28"/>
          <w:szCs w:val="28"/>
        </w:rPr>
        <w:t>актісі</w:t>
      </w:r>
      <w:proofErr w:type="spellEnd"/>
      <w:r w:rsidRPr="006476F7">
        <w:rPr>
          <w:rFonts w:ascii="Times New Roman" w:hAnsi="Times New Roman" w:cs="Times New Roman"/>
          <w:sz w:val="28"/>
          <w:szCs w:val="28"/>
        </w:rPr>
        <w:t xml:space="preserve"> (</w:t>
      </w:r>
      <w:proofErr w:type="spellStart"/>
      <w:r w:rsidRPr="006476F7">
        <w:rPr>
          <w:rFonts w:ascii="Times New Roman" w:hAnsi="Times New Roman" w:cs="Times New Roman"/>
          <w:sz w:val="28"/>
          <w:szCs w:val="28"/>
        </w:rPr>
        <w:t>Қосымша</w:t>
      </w:r>
      <w:proofErr w:type="spellEnd"/>
      <w:r w:rsidRPr="006476F7">
        <w:rPr>
          <w:rFonts w:ascii="Times New Roman" w:hAnsi="Times New Roman" w:cs="Times New Roman"/>
          <w:sz w:val="28"/>
          <w:szCs w:val="28"/>
        </w:rPr>
        <w:t xml:space="preserve"> Б).</w:t>
      </w:r>
    </w:p>
    <w:p w14:paraId="3B143444" w14:textId="74A2D93E" w:rsidR="004B3870" w:rsidRPr="006476F7" w:rsidRDefault="0046216F" w:rsidP="005125F9">
      <w:pPr>
        <w:pStyle w:val="a6"/>
        <w:keepNext/>
        <w:keepLines/>
        <w:numPr>
          <w:ilvl w:val="0"/>
          <w:numId w:val="7"/>
        </w:numPr>
        <w:spacing w:after="120" w:line="240" w:lineRule="auto"/>
        <w:ind w:left="284"/>
        <w:jc w:val="both"/>
        <w:outlineLvl w:val="1"/>
        <w:rPr>
          <w:rFonts w:ascii="Times New Roman" w:hAnsi="Times New Roman" w:cs="Times New Roman"/>
          <w:sz w:val="28"/>
          <w:szCs w:val="28"/>
          <w:lang/>
        </w:rPr>
      </w:pPr>
      <w:r w:rsidRPr="006476F7">
        <w:rPr>
          <w:rFonts w:ascii="Times New Roman" w:hAnsi="Times New Roman" w:cs="Times New Roman"/>
          <w:sz w:val="28"/>
          <w:szCs w:val="28"/>
          <w:lang/>
        </w:rPr>
        <w:t>Ишемиялық және геморрагиялық асқынулар қаупінің прогностикалық шкалалары ем нәтижелерін болжауға, сондай-ақ 12 айлық бақылау кезеңінде терапияның тиімділігі мен қауіпсіздігінің динамикалық бағасын жүргізуге мүмкіндік берді.</w:t>
      </w:r>
      <w:r w:rsidRPr="006476F7">
        <w:rPr>
          <w:rFonts w:ascii="Times New Roman" w:hAnsi="Times New Roman" w:cs="Times New Roman"/>
          <w:sz w:val="28"/>
          <w:szCs w:val="28"/>
          <w:lang/>
        </w:rPr>
        <w:br/>
      </w:r>
      <w:proofErr w:type="spellStart"/>
      <w:r w:rsidRPr="006476F7">
        <w:rPr>
          <w:rFonts w:ascii="Times New Roman" w:hAnsi="Times New Roman" w:cs="Times New Roman"/>
          <w:sz w:val="28"/>
          <w:szCs w:val="28"/>
        </w:rPr>
        <w:t>Енгізу</w:t>
      </w:r>
      <w:proofErr w:type="spellEnd"/>
      <w:r w:rsidRPr="006476F7">
        <w:rPr>
          <w:rFonts w:ascii="Times New Roman" w:hAnsi="Times New Roman" w:cs="Times New Roman"/>
          <w:sz w:val="28"/>
          <w:szCs w:val="28"/>
        </w:rPr>
        <w:t xml:space="preserve"> </w:t>
      </w:r>
      <w:proofErr w:type="spellStart"/>
      <w:r w:rsidRPr="006476F7">
        <w:rPr>
          <w:rFonts w:ascii="Times New Roman" w:hAnsi="Times New Roman" w:cs="Times New Roman"/>
          <w:sz w:val="28"/>
          <w:szCs w:val="28"/>
        </w:rPr>
        <w:t>актісі</w:t>
      </w:r>
      <w:proofErr w:type="spellEnd"/>
      <w:r w:rsidRPr="006476F7">
        <w:rPr>
          <w:rFonts w:ascii="Times New Roman" w:hAnsi="Times New Roman" w:cs="Times New Roman"/>
          <w:sz w:val="28"/>
          <w:szCs w:val="28"/>
        </w:rPr>
        <w:t xml:space="preserve"> (</w:t>
      </w:r>
      <w:proofErr w:type="spellStart"/>
      <w:r w:rsidRPr="006476F7">
        <w:rPr>
          <w:rFonts w:ascii="Times New Roman" w:hAnsi="Times New Roman" w:cs="Times New Roman"/>
          <w:sz w:val="28"/>
          <w:szCs w:val="28"/>
        </w:rPr>
        <w:t>Қосымша</w:t>
      </w:r>
      <w:proofErr w:type="spellEnd"/>
      <w:r w:rsidRPr="006476F7">
        <w:rPr>
          <w:rFonts w:ascii="Times New Roman" w:hAnsi="Times New Roman" w:cs="Times New Roman"/>
          <w:sz w:val="28"/>
          <w:szCs w:val="28"/>
        </w:rPr>
        <w:t xml:space="preserve"> Б).</w:t>
      </w:r>
    </w:p>
    <w:p w14:paraId="1125E75A" w14:textId="3A06F411" w:rsidR="004B3870" w:rsidRPr="006476F7" w:rsidRDefault="0046216F" w:rsidP="005125F9">
      <w:pPr>
        <w:pStyle w:val="a6"/>
        <w:keepNext/>
        <w:keepLines/>
        <w:numPr>
          <w:ilvl w:val="0"/>
          <w:numId w:val="7"/>
        </w:numPr>
        <w:spacing w:after="120" w:line="240" w:lineRule="auto"/>
        <w:ind w:left="284"/>
        <w:jc w:val="both"/>
        <w:outlineLvl w:val="1"/>
        <w:rPr>
          <w:rFonts w:ascii="Times New Roman" w:hAnsi="Times New Roman" w:cs="Times New Roman"/>
          <w:sz w:val="28"/>
          <w:szCs w:val="28"/>
          <w:lang/>
        </w:rPr>
      </w:pPr>
      <w:r w:rsidRPr="006476F7">
        <w:rPr>
          <w:rFonts w:ascii="Times New Roman" w:hAnsi="Times New Roman" w:cs="Times New Roman"/>
          <w:sz w:val="28"/>
          <w:szCs w:val="28"/>
          <w:lang/>
        </w:rPr>
        <w:t>Зерттеу нәтижелері Семей медицина университетінің университеттік госпиталі мен Семей қаласының Жедел медициналық жәрдем ауруханасының кардиологиялық бөлімшелерінің клиникалық тәжірибесіне енгізілді. Енгізу актісі (Қосымша Б).</w:t>
      </w:r>
    </w:p>
    <w:p w14:paraId="02160A21" w14:textId="77777777" w:rsidR="004B3870" w:rsidRPr="006476F7" w:rsidRDefault="004B3870" w:rsidP="005125F9">
      <w:pPr>
        <w:spacing w:after="0" w:line="240" w:lineRule="auto"/>
        <w:ind w:firstLine="567"/>
        <w:jc w:val="both"/>
        <w:rPr>
          <w:rFonts w:ascii="Times New Roman" w:eastAsia="Times New Roman" w:hAnsi="Times New Roman" w:cs="Times New Roman"/>
          <w:b/>
          <w:sz w:val="28"/>
          <w:szCs w:val="28"/>
          <w:lang w:val="kk-KZ" w:eastAsia="ar-SA"/>
        </w:rPr>
      </w:pPr>
      <w:bookmarkStart w:id="1" w:name="_Hlk197778403"/>
      <w:bookmarkEnd w:id="0"/>
      <w:r w:rsidRPr="006476F7">
        <w:rPr>
          <w:rFonts w:ascii="Times New Roman" w:eastAsia="Times New Roman" w:hAnsi="Times New Roman" w:cs="Times New Roman"/>
          <w:b/>
          <w:sz w:val="28"/>
          <w:szCs w:val="28"/>
          <w:lang w:eastAsia="ar-SA"/>
        </w:rPr>
        <w:t>«Қорғауға ұсынылатын диссертациялық зерттеудің негізгі тұжырымдары</w:t>
      </w:r>
    </w:p>
    <w:p w14:paraId="19938D64" w14:textId="32E01FC9" w:rsidR="004B3870" w:rsidRPr="006476F7" w:rsidRDefault="001423A6" w:rsidP="005125F9">
      <w:pPr>
        <w:spacing w:after="0" w:line="240" w:lineRule="auto"/>
        <w:ind w:firstLine="567"/>
        <w:jc w:val="both"/>
        <w:rPr>
          <w:rFonts w:ascii="Times New Roman" w:eastAsia="Aptos" w:hAnsi="Times New Roman" w:cs="Times New Roman"/>
          <w:sz w:val="28"/>
          <w:szCs w:val="28"/>
          <w:lang w:val="kk-KZ" w:eastAsia="ar-SA"/>
        </w:rPr>
      </w:pPr>
      <w:r w:rsidRPr="006476F7">
        <w:rPr>
          <w:rFonts w:ascii="Times New Roman" w:eastAsia="Aptos" w:hAnsi="Times New Roman" w:cs="Times New Roman"/>
          <w:sz w:val="28"/>
          <w:szCs w:val="28"/>
          <w:lang w:val="kk-KZ" w:eastAsia="ar-SA"/>
        </w:rPr>
        <w:t>1.</w:t>
      </w:r>
      <w:r w:rsidR="004B3870" w:rsidRPr="006476F7">
        <w:rPr>
          <w:rFonts w:ascii="Times New Roman" w:hAnsi="Times New Roman" w:cs="Times New Roman"/>
          <w:color w:val="000000"/>
          <w:sz w:val="28"/>
          <w:szCs w:val="28"/>
          <w:lang w:val="kk-KZ"/>
        </w:rPr>
        <w:t xml:space="preserve"> </w:t>
      </w:r>
      <w:r w:rsidR="0046216F" w:rsidRPr="006476F7">
        <w:rPr>
          <w:rFonts w:ascii="Times New Roman" w:eastAsia="Aptos" w:hAnsi="Times New Roman" w:cs="Times New Roman"/>
          <w:sz w:val="28"/>
          <w:szCs w:val="28"/>
          <w:lang w:val="kk-KZ" w:eastAsia="ar-SA"/>
        </w:rPr>
        <w:t xml:space="preserve">Жедел коронарлық синдромы және жүрекшелердің фибрилляциясы бар, </w:t>
      </w:r>
      <w:r w:rsidR="0046216F" w:rsidRPr="006476F7">
        <w:rPr>
          <w:rFonts w:ascii="Times New Roman" w:hAnsi="Times New Roman" w:cs="Times New Roman"/>
          <w:sz w:val="28"/>
          <w:szCs w:val="28"/>
          <w:lang/>
        </w:rPr>
        <w:t xml:space="preserve">тері арқылы </w:t>
      </w:r>
      <w:r w:rsidR="0046216F" w:rsidRPr="006476F7">
        <w:rPr>
          <w:rFonts w:ascii="Times New Roman" w:eastAsia="Aptos" w:hAnsi="Times New Roman" w:cs="Times New Roman"/>
          <w:sz w:val="28"/>
          <w:szCs w:val="28"/>
          <w:lang w:val="kk-KZ" w:eastAsia="ar-SA"/>
        </w:rPr>
        <w:t>коронарлық араласу жасалған науқастарда қолайсыз жүрек-қантамырлық оқиғалардың дамуының клинико-зертханалық предикторлары анықталды.</w:t>
      </w:r>
    </w:p>
    <w:p w14:paraId="4B856928" w14:textId="7F866B71" w:rsidR="004B3870" w:rsidRPr="006476F7" w:rsidRDefault="001423A6" w:rsidP="005125F9">
      <w:pPr>
        <w:spacing w:after="0" w:line="240" w:lineRule="auto"/>
        <w:ind w:firstLine="567"/>
        <w:jc w:val="both"/>
        <w:rPr>
          <w:rFonts w:ascii="Times New Roman" w:eastAsia="Calibri" w:hAnsi="Times New Roman" w:cs="Times New Roman"/>
          <w:sz w:val="28"/>
          <w:szCs w:val="28"/>
          <w:lang w:val="kk-KZ"/>
        </w:rPr>
      </w:pPr>
      <w:r w:rsidRPr="006476F7">
        <w:rPr>
          <w:rFonts w:ascii="Times New Roman" w:eastAsia="Calibri" w:hAnsi="Times New Roman" w:cs="Times New Roman"/>
          <w:sz w:val="28"/>
          <w:szCs w:val="28"/>
          <w:lang w:val="kk-KZ"/>
        </w:rPr>
        <w:t>2.</w:t>
      </w:r>
      <w:r w:rsidRPr="006476F7">
        <w:rPr>
          <w:rFonts w:ascii="Times New Roman" w:eastAsia="Aptos" w:hAnsi="Times New Roman" w:cs="Times New Roman"/>
          <w:sz w:val="28"/>
          <w:szCs w:val="28"/>
          <w:lang w:val="kk-KZ"/>
        </w:rPr>
        <w:t xml:space="preserve"> </w:t>
      </w:r>
      <w:bookmarkStart w:id="2" w:name="_Hlk197958511"/>
      <w:r w:rsidR="0046216F" w:rsidRPr="006476F7">
        <w:rPr>
          <w:rFonts w:ascii="Times New Roman" w:eastAsia="Calibri" w:hAnsi="Times New Roman" w:cs="Times New Roman"/>
          <w:sz w:val="28"/>
          <w:szCs w:val="28"/>
          <w:lang w:val="kk-KZ"/>
        </w:rPr>
        <w:t>Клопидогрел қолдану кезінде тромбоциттердің жоғары қалдық реактивтілігі CYP2C19</w:t>
      </w:r>
      <w:r w:rsidR="0046216F" w:rsidRPr="006476F7">
        <w:rPr>
          <w:rFonts w:ascii="Times New Roman" w:eastAsia="Calibri" w:hAnsi="Times New Roman" w:cs="Times New Roman"/>
          <w:i/>
          <w:iCs/>
          <w:sz w:val="28"/>
          <w:szCs w:val="28"/>
          <w:lang w:val="kk-KZ"/>
        </w:rPr>
        <w:t>2 (G681A) және CYP2C19</w:t>
      </w:r>
      <w:r w:rsidR="0046216F" w:rsidRPr="006476F7">
        <w:rPr>
          <w:rFonts w:ascii="Times New Roman" w:eastAsia="Calibri" w:hAnsi="Times New Roman" w:cs="Times New Roman"/>
          <w:sz w:val="28"/>
          <w:szCs w:val="28"/>
          <w:lang w:val="kk-KZ"/>
        </w:rPr>
        <w:t>3 (Trp212Ter) ген полиморфизмдерінің тасымалдаушылығымен айқын байланысқан.</w:t>
      </w:r>
    </w:p>
    <w:p w14:paraId="2D4246D5" w14:textId="6A56639F" w:rsidR="004B3870" w:rsidRPr="006476F7" w:rsidRDefault="001423A6" w:rsidP="005125F9">
      <w:pPr>
        <w:spacing w:after="0" w:line="240" w:lineRule="auto"/>
        <w:ind w:firstLine="567"/>
        <w:jc w:val="both"/>
        <w:rPr>
          <w:rFonts w:ascii="Times New Roman" w:hAnsi="Times New Roman" w:cs="Times New Roman"/>
          <w:sz w:val="28"/>
          <w:szCs w:val="28"/>
          <w:lang w:val="kk-KZ"/>
        </w:rPr>
      </w:pPr>
      <w:r w:rsidRPr="006476F7">
        <w:rPr>
          <w:rFonts w:ascii="Times New Roman" w:eastAsia="Calibri" w:hAnsi="Times New Roman" w:cs="Times New Roman"/>
          <w:sz w:val="28"/>
          <w:szCs w:val="28"/>
          <w:lang w:val="kk-KZ"/>
        </w:rPr>
        <w:lastRenderedPageBreak/>
        <w:t>3.</w:t>
      </w:r>
      <w:r w:rsidR="00946909" w:rsidRPr="006476F7">
        <w:rPr>
          <w:rFonts w:ascii="Times New Roman" w:hAnsi="Times New Roman" w:cs="Times New Roman"/>
          <w:sz w:val="28"/>
          <w:szCs w:val="28"/>
          <w:lang w:val="kk-KZ"/>
        </w:rPr>
        <w:t xml:space="preserve"> </w:t>
      </w:r>
      <w:r w:rsidR="002460C9" w:rsidRPr="006476F7">
        <w:rPr>
          <w:rFonts w:ascii="Times New Roman" w:hAnsi="Times New Roman" w:cs="Times New Roman"/>
          <w:sz w:val="28"/>
          <w:szCs w:val="28"/>
          <w:lang w:val="kk-KZ"/>
        </w:rPr>
        <w:t xml:space="preserve">Тромбоциттер функциясын тестілеу мен фармакогенетикалық талдауды қамтитын әзірленген прогностикалық шкалалар жедел коронарлық синдромы және жүрекшелердің фибрилляциясы бар, </w:t>
      </w:r>
      <w:r w:rsidR="002460C9" w:rsidRPr="006476F7">
        <w:rPr>
          <w:rFonts w:ascii="Times New Roman" w:hAnsi="Times New Roman" w:cs="Times New Roman"/>
          <w:sz w:val="28"/>
          <w:szCs w:val="28"/>
          <w:lang/>
        </w:rPr>
        <w:t>тері арқылы</w:t>
      </w:r>
      <w:r w:rsidR="002460C9" w:rsidRPr="006476F7">
        <w:rPr>
          <w:rFonts w:ascii="Times New Roman" w:hAnsi="Times New Roman" w:cs="Times New Roman"/>
          <w:sz w:val="28"/>
          <w:szCs w:val="28"/>
          <w:lang w:val="kk-KZ"/>
        </w:rPr>
        <w:t xml:space="preserve"> коронарлық араласу жасалған науқастарда ишемиялық және геморрагиялық асқынулардың даму қаупін бағалауға және терапияны дербестендіруге мүмкіндік береді.</w:t>
      </w:r>
    </w:p>
    <w:p w14:paraId="18244EAA" w14:textId="32E88FD3" w:rsidR="001423A6" w:rsidRPr="006476F7" w:rsidRDefault="001423A6" w:rsidP="005125F9">
      <w:pPr>
        <w:spacing w:after="0" w:line="240" w:lineRule="auto"/>
        <w:ind w:firstLine="567"/>
        <w:jc w:val="both"/>
        <w:rPr>
          <w:rFonts w:ascii="Times New Roman" w:eastAsia="Calibri" w:hAnsi="Times New Roman" w:cs="Times New Roman"/>
          <w:sz w:val="28"/>
          <w:szCs w:val="28"/>
          <w:lang w:val="kk-KZ"/>
        </w:rPr>
      </w:pPr>
      <w:r w:rsidRPr="006476F7">
        <w:rPr>
          <w:rFonts w:ascii="Times New Roman" w:eastAsia="Calibri" w:hAnsi="Times New Roman" w:cs="Times New Roman"/>
          <w:sz w:val="28"/>
          <w:szCs w:val="28"/>
          <w:lang w:val="kk-KZ"/>
        </w:rPr>
        <w:t>4.</w:t>
      </w:r>
      <w:r w:rsidR="00DC335C" w:rsidRPr="006476F7">
        <w:rPr>
          <w:rFonts w:ascii="Times New Roman" w:hAnsi="Times New Roman" w:cs="Times New Roman"/>
          <w:sz w:val="28"/>
          <w:szCs w:val="28"/>
          <w:lang w:val="kk-KZ"/>
        </w:rPr>
        <w:t xml:space="preserve"> </w:t>
      </w:r>
      <w:r w:rsidR="002460C9" w:rsidRPr="006476F7">
        <w:rPr>
          <w:rFonts w:ascii="Times New Roman" w:hAnsi="Times New Roman" w:cs="Times New Roman"/>
          <w:sz w:val="28"/>
          <w:szCs w:val="28"/>
          <w:lang w:val="kk-KZ"/>
        </w:rPr>
        <w:t xml:space="preserve">Антитромботикалық терапияға дербестендірілген тәсіл алгоритмін қолдану жедел коронарлық синдромы және жүрекшелердің фибрилляциясы бар, </w:t>
      </w:r>
      <w:r w:rsidR="002460C9" w:rsidRPr="006476F7">
        <w:rPr>
          <w:rFonts w:ascii="Times New Roman" w:hAnsi="Times New Roman" w:cs="Times New Roman"/>
          <w:sz w:val="28"/>
          <w:szCs w:val="28"/>
          <w:lang/>
        </w:rPr>
        <w:t>тері арқылы</w:t>
      </w:r>
      <w:r w:rsidR="002460C9" w:rsidRPr="006476F7">
        <w:rPr>
          <w:rFonts w:ascii="Times New Roman" w:hAnsi="Times New Roman" w:cs="Times New Roman"/>
          <w:sz w:val="28"/>
          <w:szCs w:val="28"/>
          <w:lang w:val="kk-KZ"/>
        </w:rPr>
        <w:t xml:space="preserve"> коронарлық араласу жасалған науқастарда қолайсыз жүрек-қантамырлық оқиғалардың жиілігінің төмендеуімен ассоциацияланған.</w:t>
      </w:r>
    </w:p>
    <w:bookmarkEnd w:id="1"/>
    <w:bookmarkEnd w:id="2"/>
    <w:p w14:paraId="674C8B61" w14:textId="1DA13A98" w:rsidR="00A319B7" w:rsidRPr="006476F7" w:rsidRDefault="004B3870" w:rsidP="005125F9">
      <w:pPr>
        <w:pStyle w:val="af"/>
        <w:spacing w:before="0" w:line="240" w:lineRule="auto"/>
        <w:rPr>
          <w:rFonts w:cs="Times New Roman"/>
          <w:b/>
          <w:bCs/>
          <w:sz w:val="28"/>
          <w:szCs w:val="28"/>
          <w:lang w:val="kk-KZ"/>
        </w:rPr>
      </w:pPr>
      <w:r w:rsidRPr="006476F7">
        <w:rPr>
          <w:rFonts w:cs="Times New Roman"/>
          <w:b/>
          <w:bCs/>
          <w:sz w:val="28"/>
          <w:szCs w:val="28"/>
          <w:lang w:val="kk-KZ"/>
        </w:rPr>
        <w:t>Қорытынды</w:t>
      </w:r>
      <w:r w:rsidR="00792785" w:rsidRPr="006476F7">
        <w:rPr>
          <w:rFonts w:cs="Times New Roman"/>
          <w:b/>
          <w:bCs/>
          <w:sz w:val="28"/>
          <w:szCs w:val="28"/>
          <w:lang w:val="kk-KZ"/>
        </w:rPr>
        <w:t>:</w:t>
      </w:r>
    </w:p>
    <w:p w14:paraId="5AC16A04" w14:textId="77777777" w:rsidR="002460C9" w:rsidRPr="006476F7" w:rsidRDefault="007B643C" w:rsidP="005125F9">
      <w:pPr>
        <w:pStyle w:val="af"/>
        <w:spacing w:before="0" w:line="240" w:lineRule="auto"/>
        <w:rPr>
          <w:rFonts w:cs="Times New Roman"/>
          <w:sz w:val="28"/>
          <w:szCs w:val="28"/>
          <w:lang w:val="kk-KZ"/>
        </w:rPr>
      </w:pPr>
      <w:r w:rsidRPr="006476F7">
        <w:rPr>
          <w:rFonts w:cs="Times New Roman"/>
          <w:sz w:val="28"/>
          <w:szCs w:val="28"/>
          <w:lang w:val="kk-KZ"/>
        </w:rPr>
        <w:t xml:space="preserve">1. </w:t>
      </w:r>
      <w:r w:rsidR="002460C9" w:rsidRPr="006476F7">
        <w:rPr>
          <w:rFonts w:cs="Times New Roman"/>
          <w:sz w:val="28"/>
          <w:szCs w:val="28"/>
          <w:lang w:val="kk-KZ"/>
        </w:rPr>
        <w:t>Жедел коронарлық синдромы және жүрекшелердің фибрилляциясы бар, тері арқылы коронарлық араласу жасалған науқастарда қолайсыз жүрек-қантамырлық оқиғалардың жиілігі 40,2% құрады, оның ішінде 25% – ишемиялық, 15,2% – геморрагиялық асқынулар.</w:t>
      </w:r>
      <w:r w:rsidR="002460C9" w:rsidRPr="006476F7">
        <w:rPr>
          <w:rFonts w:cs="Times New Roman"/>
          <w:sz w:val="28"/>
          <w:szCs w:val="28"/>
          <w:lang w:val="kk-KZ"/>
        </w:rPr>
        <w:br/>
        <w:t>Ишемиялық оқиғалармен ассоциацияланған факторлар: бұрынғы миокард инфаркті (ОШ 0,158; 95% ДИ 0,052–0,477; p=0,001), ProBNP жоғары деңгейі (ОШ 1,0; 95% ДИ 1,00–1,00; p=0,003), сол жақ қарыншаның фракциясының төмендеуі (ОШ 0,89; 95% ДИ 0,84–0,95; p&lt;0,001), шумақтық сүзілу жылдамдығының төмендеуі (ОШ 0,893; 95% ДИ 0,837–0,952; p&lt;0,001), тромбоциттер санының жоғарылауы (ОШ 1,013; 95% ДИ 1,004–1,021; p=0,003).</w:t>
      </w:r>
      <w:r w:rsidR="002460C9" w:rsidRPr="006476F7">
        <w:rPr>
          <w:rFonts w:cs="Times New Roman"/>
          <w:sz w:val="28"/>
          <w:szCs w:val="28"/>
          <w:lang w:val="kk-KZ"/>
        </w:rPr>
        <w:br/>
        <w:t>Геморрагиялық асқынулардың даму қаупін арттыратын факторлар: ер жынысы (ОШ 8,13; 95% ДИ 1,01–65,33; p=0,030), белсенді шылым шегу (ОШ 4,44; 95% ДИ 1,36–14,50; p=0,020), анемия болуы (ОШ 0,96; 95% ДИ 0,93–0,99; p=0,039), антикоагулянттарды қабылдау (ОШ 2,52; 95% ДИ 1,30–4,87; p=0,007) және ХҚҚ-ның (МНО) жоғары мәндері (ОШ 3,10; 95% ДИ 1,25–7,68; p=0,016).</w:t>
      </w:r>
    </w:p>
    <w:p w14:paraId="5CBD3322" w14:textId="2D3EE7BE" w:rsidR="00ED0C25" w:rsidRPr="006476F7" w:rsidRDefault="007B643C" w:rsidP="005125F9">
      <w:pPr>
        <w:pStyle w:val="af"/>
        <w:spacing w:before="0" w:line="240" w:lineRule="auto"/>
        <w:rPr>
          <w:rFonts w:cs="Times New Roman"/>
          <w:sz w:val="28"/>
          <w:szCs w:val="28"/>
          <w:lang/>
        </w:rPr>
      </w:pPr>
      <w:r w:rsidRPr="006476F7">
        <w:rPr>
          <w:rFonts w:cs="Times New Roman"/>
          <w:sz w:val="28"/>
          <w:szCs w:val="28"/>
          <w:lang/>
        </w:rPr>
        <w:t>2.</w:t>
      </w:r>
      <w:r w:rsidR="002460C9" w:rsidRPr="006476F7">
        <w:rPr>
          <w:rFonts w:eastAsia="Times New Roman" w:cs="Times New Roman"/>
          <w:color w:val="000000"/>
          <w:sz w:val="28"/>
          <w:szCs w:val="28"/>
          <w:lang w:eastAsia="ru-RU"/>
        </w:rPr>
        <w:t xml:space="preserve"> </w:t>
      </w:r>
      <w:r w:rsidR="002460C9" w:rsidRPr="006476F7">
        <w:rPr>
          <w:rFonts w:cs="Times New Roman"/>
          <w:sz w:val="28"/>
          <w:szCs w:val="28"/>
          <w:lang w:val="kk-KZ"/>
        </w:rPr>
        <w:t>Осы санаттағы науқастарда CYP2C192 және CYP2C193 полиморфизмдерін тасымалдаушылық жиілігі 34,2% құрады. Клопидогрел қабылдау аясында тромбоциттердің жоғары қалдық реактивтілігі CYP2C19*1/2 және CYP2C192/*2 генотиптерін тасымалдаумен сенімді байланыста болды (p&lt;0,001).</w:t>
      </w:r>
    </w:p>
    <w:p w14:paraId="27925C6A" w14:textId="4B5FECD5" w:rsidR="00ED0C25" w:rsidRPr="006476F7" w:rsidRDefault="007B643C" w:rsidP="005125F9">
      <w:pPr>
        <w:pStyle w:val="af"/>
        <w:spacing w:before="0" w:line="240" w:lineRule="auto"/>
        <w:rPr>
          <w:rFonts w:cs="Times New Roman"/>
          <w:sz w:val="28"/>
          <w:szCs w:val="28"/>
          <w:lang/>
        </w:rPr>
      </w:pPr>
      <w:r w:rsidRPr="006476F7">
        <w:rPr>
          <w:rFonts w:cs="Times New Roman"/>
          <w:sz w:val="28"/>
          <w:szCs w:val="28"/>
          <w:lang/>
        </w:rPr>
        <w:t xml:space="preserve">3. </w:t>
      </w:r>
      <w:r w:rsidR="002460C9" w:rsidRPr="006476F7">
        <w:rPr>
          <w:rFonts w:cs="Times New Roman"/>
          <w:sz w:val="28"/>
          <w:szCs w:val="28"/>
          <w:lang/>
        </w:rPr>
        <w:t>Клопидогрелмен қос антитромботикалық терапия аясында қолайсыз оқиғалардың тәуелсіз предикторлары анықталды:</w:t>
      </w:r>
      <w:r w:rsidR="002460C9" w:rsidRPr="006476F7">
        <w:rPr>
          <w:rFonts w:cs="Times New Roman"/>
          <w:sz w:val="28"/>
          <w:szCs w:val="28"/>
          <w:lang/>
        </w:rPr>
        <w:br/>
        <w:t>– Ишемиялық оқиғалар: сол жақ қарыншаның фракциясының төмендеуі (ОШ 0,814; 95% ДИ 0,684–0,943; p=0,001), креатинин деңгейінің жоғарылауы (ОШ 0,741; 95% ДИ 0,569–0,914; p=0,014), тромбоциттер санының жоғарылауы (ОШ 0,876; 95% ДИ 0,746–1,000; p&lt;0,001), тромбоциттердің жоғары қалдық реактивтілігі (ОШ 1,17; 95% ДИ 1,08–1,26; p&lt;0,001), агрегация қисығы астындағы ауданның (AUC) ұлғаюы (ОШ 1,05; 95% ДИ 1,02–1,08; p&lt;0,001), D-димердің жоғарылауы (ОШ 0,770; 95% ДИ 0,595–0,944; p=0,006), CYP2C19 полиморфизмін тасымалдаушылық (ОШ 6,03; 95% ДИ 2,12–17,17; p=0,001).</w:t>
      </w:r>
      <w:r w:rsidR="002460C9" w:rsidRPr="006476F7">
        <w:rPr>
          <w:rFonts w:cs="Times New Roman"/>
          <w:sz w:val="28"/>
          <w:szCs w:val="28"/>
          <w:lang/>
        </w:rPr>
        <w:br/>
        <w:t>– Геморрагиялық асқынулар: гемоглобин деңгейінің төмендеуі (ОШ 0,880; 95% ДИ 0,764–0,997; p&lt;0,001), тромбоциттер санының азаюы (ОШ 0,793; 95% ДИ 0,649–</w:t>
      </w:r>
      <w:r w:rsidR="002460C9" w:rsidRPr="006476F7">
        <w:rPr>
          <w:rFonts w:cs="Times New Roman"/>
          <w:sz w:val="28"/>
          <w:szCs w:val="28"/>
          <w:lang/>
        </w:rPr>
        <w:lastRenderedPageBreak/>
        <w:t>0,937; p=0,001), CKD-EPI бойынша СКФ төмендеуі (ОШ 0,737; 95% ДИ 0,623–0,851; p=0,010), тромбоциттердің төмен қалдық реактивтілігі (ОШ 0,919; 95% ДИ 0,768–1,000; p&lt;0,001), AUC төмендеуі (ОШ 0,906; 95% ДИ 0,789–1,000; p&lt;0,001), сол жақ қарыншаның фракциясының төмендеуі (ОШ 0,704; 95% ДИ 0,589–0,818; p=0,027).</w:t>
      </w:r>
    </w:p>
    <w:p w14:paraId="34F007AE" w14:textId="77777777" w:rsidR="00ED0C25" w:rsidRPr="006476F7" w:rsidRDefault="00ED0C25" w:rsidP="005125F9">
      <w:pPr>
        <w:pStyle w:val="af"/>
        <w:spacing w:before="0" w:line="240" w:lineRule="auto"/>
        <w:rPr>
          <w:rFonts w:cs="Times New Roman"/>
          <w:sz w:val="28"/>
          <w:szCs w:val="28"/>
          <w:lang/>
        </w:rPr>
      </w:pPr>
      <w:r w:rsidRPr="006476F7">
        <w:rPr>
          <w:rFonts w:cs="Times New Roman"/>
          <w:sz w:val="28"/>
          <w:szCs w:val="28"/>
          <w:lang/>
        </w:rPr>
        <w:t>Геморрагиялық асқынулардың даму қаупін бағалайтын модель құрамына келесі көрсеткіштер кірді: СҚЛФ-ның төмендеуі (p=0,027), тромбоциттер санының төмендігі (p=0,001), гемоглобин деңгейінің төмендігі (p&lt;0,001), шумақтық сүзілу жылдамдығының (ШСЖ) төмендеуі (p=0,010), 10 мкг/мл АДФ әсерінен ТҚР-ның төмен деңгейі (p&lt;0,001), агрегация қисығы астындағы аудан (AUC) (p&lt;0,001). Бұл модельдің сезімталдығы — 90,9%, ерекшелігі — 98,4% (p&lt;0,001).</w:t>
      </w:r>
    </w:p>
    <w:p w14:paraId="10AB329F" w14:textId="61328AD4" w:rsidR="00DB530E" w:rsidRPr="006476F7" w:rsidRDefault="007B643C" w:rsidP="005125F9">
      <w:pPr>
        <w:pStyle w:val="af"/>
        <w:spacing w:before="0" w:line="240" w:lineRule="auto"/>
        <w:rPr>
          <w:rFonts w:cs="Times New Roman"/>
          <w:sz w:val="28"/>
          <w:szCs w:val="28"/>
          <w:lang w:val="kk-KZ"/>
        </w:rPr>
      </w:pPr>
      <w:r w:rsidRPr="006476F7">
        <w:rPr>
          <w:rFonts w:cs="Times New Roman"/>
          <w:sz w:val="28"/>
          <w:szCs w:val="28"/>
          <w:lang/>
        </w:rPr>
        <w:t>4.</w:t>
      </w:r>
      <w:r w:rsidR="00DB530E" w:rsidRPr="006476F7">
        <w:rPr>
          <w:rFonts w:cs="Times New Roman"/>
          <w:sz w:val="28"/>
          <w:szCs w:val="28"/>
          <w:lang/>
        </w:rPr>
        <w:t>Клиникалық қауіп факторларының кешенді бағасына, тромбоциттердің қалдық реактивтілігіне және науқастардың генетикалық профиліне негізделген антитромботикалық терапияға дербестендірілген тәсіл алгоритмін қолдану қолайсыз клиникалық оқиғалардың жиілігінің төмендеуімен және 12 айлық бақылау кезеңінде өлім жағдайларының болмауымен ассоциацияланды (p&lt;0,001).</w:t>
      </w:r>
    </w:p>
    <w:p w14:paraId="0A42AFC4" w14:textId="70874692" w:rsidR="00ED0C25" w:rsidRPr="006476F7" w:rsidRDefault="00ED0C25" w:rsidP="005125F9">
      <w:pPr>
        <w:pStyle w:val="af"/>
        <w:spacing w:before="0" w:line="240" w:lineRule="auto"/>
        <w:rPr>
          <w:rFonts w:cs="Times New Roman"/>
          <w:b/>
          <w:bCs/>
          <w:sz w:val="28"/>
          <w:szCs w:val="28"/>
          <w:lang w:val="kk-KZ"/>
        </w:rPr>
      </w:pPr>
      <w:r w:rsidRPr="006476F7">
        <w:rPr>
          <w:rFonts w:cs="Times New Roman"/>
          <w:b/>
          <w:bCs/>
          <w:sz w:val="28"/>
          <w:szCs w:val="28"/>
          <w:lang w:val="kk-KZ"/>
        </w:rPr>
        <w:t>Практикалық ұсыныстар</w:t>
      </w:r>
    </w:p>
    <w:p w14:paraId="55EEB68A" w14:textId="2925A6D8" w:rsidR="00DB530E" w:rsidRPr="006476F7" w:rsidRDefault="00DB530E" w:rsidP="005125F9">
      <w:pPr>
        <w:pStyle w:val="af"/>
        <w:numPr>
          <w:ilvl w:val="0"/>
          <w:numId w:val="8"/>
        </w:numPr>
        <w:tabs>
          <w:tab w:val="clear" w:pos="720"/>
          <w:tab w:val="num" w:pos="426"/>
        </w:tabs>
        <w:spacing w:before="0" w:line="240" w:lineRule="auto"/>
        <w:ind w:left="284" w:hanging="294"/>
        <w:rPr>
          <w:rFonts w:cs="Times New Roman"/>
          <w:sz w:val="28"/>
          <w:szCs w:val="28"/>
          <w:lang/>
        </w:rPr>
      </w:pPr>
      <w:r w:rsidRPr="006476F7">
        <w:rPr>
          <w:rFonts w:cs="Times New Roman"/>
          <w:sz w:val="28"/>
          <w:szCs w:val="28"/>
          <w:lang/>
        </w:rPr>
        <w:t>Жедел коронарлық синдромы және жүрекшелердің фибрилляциясы бар науқастарды тері арқылы коронарлық араласудан кейін ишемиялық және геморрагиялық асқынулардың даму қаупі бойынша стратификациялау және антитромботикалық терапияның тиімділігі мен қауіпсіздігін 12 ай бойы динамикалық бақылау үшін тромбоциттер функциясын тестілеуді және фармакогенетикалық талдауды қамтитын прогностикалық шкалаларды қолдану.</w:t>
      </w:r>
    </w:p>
    <w:p w14:paraId="41DDB542" w14:textId="77777777" w:rsidR="00DB530E" w:rsidRPr="006476F7" w:rsidRDefault="00DB530E" w:rsidP="005125F9">
      <w:pPr>
        <w:pStyle w:val="af"/>
        <w:numPr>
          <w:ilvl w:val="0"/>
          <w:numId w:val="8"/>
        </w:numPr>
        <w:tabs>
          <w:tab w:val="clear" w:pos="720"/>
          <w:tab w:val="num" w:pos="426"/>
        </w:tabs>
        <w:spacing w:before="0" w:line="240" w:lineRule="auto"/>
        <w:ind w:left="284" w:hanging="294"/>
        <w:rPr>
          <w:rFonts w:cs="Times New Roman"/>
          <w:sz w:val="28"/>
          <w:szCs w:val="28"/>
          <w:lang/>
        </w:rPr>
      </w:pPr>
      <w:r w:rsidRPr="006476F7">
        <w:rPr>
          <w:rFonts w:cs="Times New Roman"/>
          <w:sz w:val="28"/>
          <w:szCs w:val="28"/>
          <w:lang/>
        </w:rPr>
        <w:t>Антитромботикалық терапия сызбаларының қарқындылығы мен ұзақтығын тромбоциттердің қалдық реактивтілігі деңгейі және CYP2C19 генетикалық профиліне байланысты эскалациялау немесе деэскалациялау үшін әзірленген алгоритмді пайдалану.</w:t>
      </w:r>
    </w:p>
    <w:p w14:paraId="59338F5D" w14:textId="578CE924" w:rsidR="00F91F44" w:rsidRPr="006476F7" w:rsidRDefault="00DB530E" w:rsidP="005125F9">
      <w:pPr>
        <w:pStyle w:val="af"/>
        <w:numPr>
          <w:ilvl w:val="0"/>
          <w:numId w:val="8"/>
        </w:numPr>
        <w:tabs>
          <w:tab w:val="clear" w:pos="720"/>
          <w:tab w:val="num" w:pos="426"/>
        </w:tabs>
        <w:spacing w:before="0" w:line="240" w:lineRule="auto"/>
        <w:ind w:left="284" w:hanging="294"/>
        <w:rPr>
          <w:rFonts w:cs="Times New Roman"/>
          <w:sz w:val="28"/>
          <w:szCs w:val="28"/>
          <w:lang/>
        </w:rPr>
      </w:pPr>
      <w:r w:rsidRPr="006476F7">
        <w:rPr>
          <w:rFonts w:cs="Times New Roman"/>
          <w:sz w:val="28"/>
          <w:szCs w:val="28"/>
          <w:lang/>
        </w:rPr>
        <w:t>Жедел коронарлық синдромы және жүрекшелердің фибрилляциясы бар, тері арқылы коронарлық араласу жасалған науқастарды жүргізудің стандартты хаттамаларына тромбоциттердің қалдық реактивтілігін бағалауды және фармакогенетикалық тестілеуді енгізу – терапияны оңтайландыруға және қолайсыз жүрек-қантамырлық оқиғалардың жиілігін төмендетуге мүмкіндік береді.</w:t>
      </w:r>
    </w:p>
    <w:sectPr w:rsidR="00F91F44" w:rsidRPr="006476F7" w:rsidSect="006476F7">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0DF37" w14:textId="77777777" w:rsidR="00AE602E" w:rsidRDefault="00AE602E" w:rsidP="003D4EE6">
      <w:pPr>
        <w:spacing w:after="0" w:line="240" w:lineRule="auto"/>
      </w:pPr>
      <w:r>
        <w:separator/>
      </w:r>
    </w:p>
  </w:endnote>
  <w:endnote w:type="continuationSeparator" w:id="0">
    <w:p w14:paraId="74F25DC5" w14:textId="77777777" w:rsidR="00AE602E" w:rsidRDefault="00AE602E" w:rsidP="003D4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42673" w14:textId="77777777" w:rsidR="00AE602E" w:rsidRDefault="00AE602E" w:rsidP="003D4EE6">
      <w:pPr>
        <w:spacing w:after="0" w:line="240" w:lineRule="auto"/>
      </w:pPr>
      <w:r>
        <w:separator/>
      </w:r>
    </w:p>
  </w:footnote>
  <w:footnote w:type="continuationSeparator" w:id="0">
    <w:p w14:paraId="01378820" w14:textId="77777777" w:rsidR="00AE602E" w:rsidRDefault="00AE602E" w:rsidP="003D4E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00B6"/>
    <w:multiLevelType w:val="hybridMultilevel"/>
    <w:tmpl w:val="96D60CB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2003000"/>
    <w:multiLevelType w:val="hybridMultilevel"/>
    <w:tmpl w:val="AEC2E5A2"/>
    <w:lvl w:ilvl="0" w:tplc="61126950">
      <w:start w:val="1"/>
      <w:numFmt w:val="decimal"/>
      <w:lvlText w:val="%1."/>
      <w:lvlJc w:val="left"/>
      <w:pPr>
        <w:ind w:left="1132" w:hanging="99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2" w15:restartNumberingAfterBreak="0">
    <w:nsid w:val="4EA54A24"/>
    <w:multiLevelType w:val="hybridMultilevel"/>
    <w:tmpl w:val="AD564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4DE1CA4"/>
    <w:multiLevelType w:val="hybridMultilevel"/>
    <w:tmpl w:val="FF589F7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55D33FC3"/>
    <w:multiLevelType w:val="multilevel"/>
    <w:tmpl w:val="9B465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197AFD"/>
    <w:multiLevelType w:val="hybridMultilevel"/>
    <w:tmpl w:val="2CBA2B9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70C92882"/>
    <w:multiLevelType w:val="hybridMultilevel"/>
    <w:tmpl w:val="85C67C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4633784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8216153">
    <w:abstractNumId w:val="1"/>
  </w:num>
  <w:num w:numId="3" w16cid:durableId="601230328">
    <w:abstractNumId w:val="0"/>
  </w:num>
  <w:num w:numId="4" w16cid:durableId="1183011287">
    <w:abstractNumId w:val="3"/>
  </w:num>
  <w:num w:numId="5" w16cid:durableId="986207247">
    <w:abstractNumId w:val="2"/>
  </w:num>
  <w:num w:numId="6" w16cid:durableId="986594964">
    <w:abstractNumId w:val="5"/>
  </w:num>
  <w:num w:numId="7" w16cid:durableId="292487176">
    <w:abstractNumId w:val="6"/>
  </w:num>
  <w:num w:numId="8" w16cid:durableId="2028749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16D"/>
    <w:rsid w:val="00001EC3"/>
    <w:rsid w:val="0001010A"/>
    <w:rsid w:val="000111BD"/>
    <w:rsid w:val="00014731"/>
    <w:rsid w:val="00016593"/>
    <w:rsid w:val="000224B6"/>
    <w:rsid w:val="000301F1"/>
    <w:rsid w:val="00037BD3"/>
    <w:rsid w:val="0004232E"/>
    <w:rsid w:val="00044742"/>
    <w:rsid w:val="00044EA2"/>
    <w:rsid w:val="00051829"/>
    <w:rsid w:val="000575CA"/>
    <w:rsid w:val="00057C58"/>
    <w:rsid w:val="00057F7D"/>
    <w:rsid w:val="00076CEC"/>
    <w:rsid w:val="00081CE2"/>
    <w:rsid w:val="00094CAE"/>
    <w:rsid w:val="00097672"/>
    <w:rsid w:val="000A23E7"/>
    <w:rsid w:val="000A29E1"/>
    <w:rsid w:val="000A5EBD"/>
    <w:rsid w:val="000A7E4E"/>
    <w:rsid w:val="000B40CC"/>
    <w:rsid w:val="000C5003"/>
    <w:rsid w:val="000C6BA6"/>
    <w:rsid w:val="000D59B8"/>
    <w:rsid w:val="000F348D"/>
    <w:rsid w:val="000F4FF7"/>
    <w:rsid w:val="000F5747"/>
    <w:rsid w:val="00106E27"/>
    <w:rsid w:val="001275DD"/>
    <w:rsid w:val="001423A6"/>
    <w:rsid w:val="00143512"/>
    <w:rsid w:val="00150308"/>
    <w:rsid w:val="001526A2"/>
    <w:rsid w:val="00152D6C"/>
    <w:rsid w:val="00155FEE"/>
    <w:rsid w:val="001622EC"/>
    <w:rsid w:val="00167321"/>
    <w:rsid w:val="001709EE"/>
    <w:rsid w:val="00173A77"/>
    <w:rsid w:val="00174C43"/>
    <w:rsid w:val="001815BF"/>
    <w:rsid w:val="00184692"/>
    <w:rsid w:val="0018738C"/>
    <w:rsid w:val="00193039"/>
    <w:rsid w:val="00193223"/>
    <w:rsid w:val="0019731A"/>
    <w:rsid w:val="001A02B1"/>
    <w:rsid w:val="001B2BF6"/>
    <w:rsid w:val="001B4B4D"/>
    <w:rsid w:val="001B796F"/>
    <w:rsid w:val="001C528A"/>
    <w:rsid w:val="001C74F0"/>
    <w:rsid w:val="001D36D4"/>
    <w:rsid w:val="001E1D67"/>
    <w:rsid w:val="001E73AF"/>
    <w:rsid w:val="001F6701"/>
    <w:rsid w:val="0021031C"/>
    <w:rsid w:val="00211686"/>
    <w:rsid w:val="00220986"/>
    <w:rsid w:val="00223D7D"/>
    <w:rsid w:val="00232AB9"/>
    <w:rsid w:val="00232B5A"/>
    <w:rsid w:val="002416B7"/>
    <w:rsid w:val="002451EF"/>
    <w:rsid w:val="002460C9"/>
    <w:rsid w:val="00247717"/>
    <w:rsid w:val="0025125C"/>
    <w:rsid w:val="00251C69"/>
    <w:rsid w:val="002527A7"/>
    <w:rsid w:val="00252DFC"/>
    <w:rsid w:val="002544C0"/>
    <w:rsid w:val="00257DCF"/>
    <w:rsid w:val="0026489E"/>
    <w:rsid w:val="00266862"/>
    <w:rsid w:val="00267BA3"/>
    <w:rsid w:val="0028027D"/>
    <w:rsid w:val="00284081"/>
    <w:rsid w:val="0029044F"/>
    <w:rsid w:val="002A2787"/>
    <w:rsid w:val="002B6030"/>
    <w:rsid w:val="002B6169"/>
    <w:rsid w:val="002B6A50"/>
    <w:rsid w:val="002C3CD8"/>
    <w:rsid w:val="002D7612"/>
    <w:rsid w:val="002E0D81"/>
    <w:rsid w:val="002E0D96"/>
    <w:rsid w:val="00302F39"/>
    <w:rsid w:val="003037E1"/>
    <w:rsid w:val="0030485A"/>
    <w:rsid w:val="00311753"/>
    <w:rsid w:val="00311B9B"/>
    <w:rsid w:val="0031221D"/>
    <w:rsid w:val="003126ED"/>
    <w:rsid w:val="003205E1"/>
    <w:rsid w:val="0033042A"/>
    <w:rsid w:val="00330ED8"/>
    <w:rsid w:val="003368F4"/>
    <w:rsid w:val="00340938"/>
    <w:rsid w:val="00341C07"/>
    <w:rsid w:val="00346D3A"/>
    <w:rsid w:val="00347B6D"/>
    <w:rsid w:val="00351E2D"/>
    <w:rsid w:val="003560BB"/>
    <w:rsid w:val="00360C43"/>
    <w:rsid w:val="003631AA"/>
    <w:rsid w:val="00365B25"/>
    <w:rsid w:val="00365FEE"/>
    <w:rsid w:val="00371067"/>
    <w:rsid w:val="00375194"/>
    <w:rsid w:val="00380595"/>
    <w:rsid w:val="003813FC"/>
    <w:rsid w:val="00383C99"/>
    <w:rsid w:val="00390A83"/>
    <w:rsid w:val="00396DEE"/>
    <w:rsid w:val="003A3F12"/>
    <w:rsid w:val="003A7A9A"/>
    <w:rsid w:val="003B19E3"/>
    <w:rsid w:val="003B4DBA"/>
    <w:rsid w:val="003D0B1B"/>
    <w:rsid w:val="003D2389"/>
    <w:rsid w:val="003D4EE6"/>
    <w:rsid w:val="003E707C"/>
    <w:rsid w:val="003E7AB6"/>
    <w:rsid w:val="003F0783"/>
    <w:rsid w:val="003F1B28"/>
    <w:rsid w:val="00400B16"/>
    <w:rsid w:val="0040165A"/>
    <w:rsid w:val="004022C7"/>
    <w:rsid w:val="00410BF0"/>
    <w:rsid w:val="00431188"/>
    <w:rsid w:val="00441203"/>
    <w:rsid w:val="00441BCD"/>
    <w:rsid w:val="00444199"/>
    <w:rsid w:val="00447DC5"/>
    <w:rsid w:val="00450A67"/>
    <w:rsid w:val="00457F0D"/>
    <w:rsid w:val="00460946"/>
    <w:rsid w:val="0046216F"/>
    <w:rsid w:val="0047058A"/>
    <w:rsid w:val="00473B06"/>
    <w:rsid w:val="00483835"/>
    <w:rsid w:val="004878FC"/>
    <w:rsid w:val="004905ED"/>
    <w:rsid w:val="0049115B"/>
    <w:rsid w:val="00494B0E"/>
    <w:rsid w:val="00495DF2"/>
    <w:rsid w:val="004979B2"/>
    <w:rsid w:val="004A444A"/>
    <w:rsid w:val="004A5544"/>
    <w:rsid w:val="004B3870"/>
    <w:rsid w:val="004B6B0F"/>
    <w:rsid w:val="004C7EA8"/>
    <w:rsid w:val="004D0FEF"/>
    <w:rsid w:val="004D268C"/>
    <w:rsid w:val="004D4DD7"/>
    <w:rsid w:val="004D5F5D"/>
    <w:rsid w:val="004D7927"/>
    <w:rsid w:val="004E44C4"/>
    <w:rsid w:val="005014B4"/>
    <w:rsid w:val="005038F1"/>
    <w:rsid w:val="0051103E"/>
    <w:rsid w:val="00511C29"/>
    <w:rsid w:val="005125F9"/>
    <w:rsid w:val="0051334C"/>
    <w:rsid w:val="00515D77"/>
    <w:rsid w:val="0052273C"/>
    <w:rsid w:val="0052409B"/>
    <w:rsid w:val="0053561D"/>
    <w:rsid w:val="005360F3"/>
    <w:rsid w:val="005429D2"/>
    <w:rsid w:val="00546BF9"/>
    <w:rsid w:val="005529C8"/>
    <w:rsid w:val="00556591"/>
    <w:rsid w:val="0056715C"/>
    <w:rsid w:val="00571BD2"/>
    <w:rsid w:val="0057202C"/>
    <w:rsid w:val="00572DC3"/>
    <w:rsid w:val="0057350D"/>
    <w:rsid w:val="005765E2"/>
    <w:rsid w:val="00577020"/>
    <w:rsid w:val="00580E0E"/>
    <w:rsid w:val="00582582"/>
    <w:rsid w:val="00585907"/>
    <w:rsid w:val="005959AD"/>
    <w:rsid w:val="00597C50"/>
    <w:rsid w:val="005C395C"/>
    <w:rsid w:val="005D5E33"/>
    <w:rsid w:val="005D7D2A"/>
    <w:rsid w:val="005E4C9F"/>
    <w:rsid w:val="00600B04"/>
    <w:rsid w:val="006031A1"/>
    <w:rsid w:val="00603D2B"/>
    <w:rsid w:val="00620EDB"/>
    <w:rsid w:val="00621848"/>
    <w:rsid w:val="006400FB"/>
    <w:rsid w:val="00642147"/>
    <w:rsid w:val="0064607B"/>
    <w:rsid w:val="006476F7"/>
    <w:rsid w:val="00652FFC"/>
    <w:rsid w:val="006533E2"/>
    <w:rsid w:val="006543AA"/>
    <w:rsid w:val="00665A39"/>
    <w:rsid w:val="00682061"/>
    <w:rsid w:val="00682A50"/>
    <w:rsid w:val="00683D39"/>
    <w:rsid w:val="00687213"/>
    <w:rsid w:val="00691C8C"/>
    <w:rsid w:val="00694A43"/>
    <w:rsid w:val="006A597F"/>
    <w:rsid w:val="006B0967"/>
    <w:rsid w:val="006B1574"/>
    <w:rsid w:val="006B7038"/>
    <w:rsid w:val="006C7F1A"/>
    <w:rsid w:val="006D5F7B"/>
    <w:rsid w:val="006F47C1"/>
    <w:rsid w:val="00720612"/>
    <w:rsid w:val="00720F49"/>
    <w:rsid w:val="00723786"/>
    <w:rsid w:val="00737AB9"/>
    <w:rsid w:val="00741730"/>
    <w:rsid w:val="00745C65"/>
    <w:rsid w:val="00747617"/>
    <w:rsid w:val="00764594"/>
    <w:rsid w:val="007734D1"/>
    <w:rsid w:val="00781FAC"/>
    <w:rsid w:val="00792785"/>
    <w:rsid w:val="00795F80"/>
    <w:rsid w:val="007A6AB0"/>
    <w:rsid w:val="007B0AD4"/>
    <w:rsid w:val="007B2A62"/>
    <w:rsid w:val="007B643C"/>
    <w:rsid w:val="007C0AAC"/>
    <w:rsid w:val="007C3606"/>
    <w:rsid w:val="007C6FE7"/>
    <w:rsid w:val="007D1474"/>
    <w:rsid w:val="007D1A0D"/>
    <w:rsid w:val="007D28C3"/>
    <w:rsid w:val="007E50B7"/>
    <w:rsid w:val="007E6EF5"/>
    <w:rsid w:val="007E71C0"/>
    <w:rsid w:val="007F16C4"/>
    <w:rsid w:val="007F1FCC"/>
    <w:rsid w:val="008013D6"/>
    <w:rsid w:val="00810482"/>
    <w:rsid w:val="0082644F"/>
    <w:rsid w:val="0084452C"/>
    <w:rsid w:val="00846919"/>
    <w:rsid w:val="008474D7"/>
    <w:rsid w:val="00852E3A"/>
    <w:rsid w:val="008551C6"/>
    <w:rsid w:val="00855760"/>
    <w:rsid w:val="008577F6"/>
    <w:rsid w:val="008631AE"/>
    <w:rsid w:val="0086344D"/>
    <w:rsid w:val="00870B11"/>
    <w:rsid w:val="00877BBB"/>
    <w:rsid w:val="008855D2"/>
    <w:rsid w:val="008859C5"/>
    <w:rsid w:val="00886063"/>
    <w:rsid w:val="00893804"/>
    <w:rsid w:val="008A0E23"/>
    <w:rsid w:val="008B2424"/>
    <w:rsid w:val="008B4C95"/>
    <w:rsid w:val="008B523C"/>
    <w:rsid w:val="008B7E80"/>
    <w:rsid w:val="008C1D3B"/>
    <w:rsid w:val="008C462C"/>
    <w:rsid w:val="008D26B9"/>
    <w:rsid w:val="008D5CCC"/>
    <w:rsid w:val="008D774A"/>
    <w:rsid w:val="008E170B"/>
    <w:rsid w:val="008E3CC0"/>
    <w:rsid w:val="008F709D"/>
    <w:rsid w:val="009001A6"/>
    <w:rsid w:val="00901D80"/>
    <w:rsid w:val="0090343B"/>
    <w:rsid w:val="00922FDF"/>
    <w:rsid w:val="00923508"/>
    <w:rsid w:val="00924C14"/>
    <w:rsid w:val="00925507"/>
    <w:rsid w:val="00925C2B"/>
    <w:rsid w:val="009261DF"/>
    <w:rsid w:val="00926676"/>
    <w:rsid w:val="00936CC8"/>
    <w:rsid w:val="00936DAB"/>
    <w:rsid w:val="00946909"/>
    <w:rsid w:val="009478C4"/>
    <w:rsid w:val="00954E17"/>
    <w:rsid w:val="00957410"/>
    <w:rsid w:val="00962FF1"/>
    <w:rsid w:val="00964B19"/>
    <w:rsid w:val="009726D8"/>
    <w:rsid w:val="00974187"/>
    <w:rsid w:val="0097725A"/>
    <w:rsid w:val="0098316D"/>
    <w:rsid w:val="00984E43"/>
    <w:rsid w:val="00992880"/>
    <w:rsid w:val="009A26FC"/>
    <w:rsid w:val="009A4735"/>
    <w:rsid w:val="009B05AA"/>
    <w:rsid w:val="009B5F74"/>
    <w:rsid w:val="009C27DF"/>
    <w:rsid w:val="009D0F9F"/>
    <w:rsid w:val="009D0FF6"/>
    <w:rsid w:val="009D3914"/>
    <w:rsid w:val="009E0061"/>
    <w:rsid w:val="009E2CE4"/>
    <w:rsid w:val="009E4069"/>
    <w:rsid w:val="009F0764"/>
    <w:rsid w:val="009F4294"/>
    <w:rsid w:val="009F570C"/>
    <w:rsid w:val="00A00A2C"/>
    <w:rsid w:val="00A1332F"/>
    <w:rsid w:val="00A20930"/>
    <w:rsid w:val="00A21DCA"/>
    <w:rsid w:val="00A2227D"/>
    <w:rsid w:val="00A319B7"/>
    <w:rsid w:val="00A33811"/>
    <w:rsid w:val="00A35095"/>
    <w:rsid w:val="00A36DCD"/>
    <w:rsid w:val="00A465DD"/>
    <w:rsid w:val="00A47B2E"/>
    <w:rsid w:val="00A50B79"/>
    <w:rsid w:val="00A56CF7"/>
    <w:rsid w:val="00A60182"/>
    <w:rsid w:val="00A656E0"/>
    <w:rsid w:val="00A65D77"/>
    <w:rsid w:val="00A7094A"/>
    <w:rsid w:val="00A745A8"/>
    <w:rsid w:val="00A75F3F"/>
    <w:rsid w:val="00A765B7"/>
    <w:rsid w:val="00A778F3"/>
    <w:rsid w:val="00A77995"/>
    <w:rsid w:val="00A812D9"/>
    <w:rsid w:val="00A82571"/>
    <w:rsid w:val="00A934D1"/>
    <w:rsid w:val="00AA36F8"/>
    <w:rsid w:val="00AC3C58"/>
    <w:rsid w:val="00AD5F66"/>
    <w:rsid w:val="00AE1B68"/>
    <w:rsid w:val="00AE4B8C"/>
    <w:rsid w:val="00AE602E"/>
    <w:rsid w:val="00AE6907"/>
    <w:rsid w:val="00AF1752"/>
    <w:rsid w:val="00AF74C9"/>
    <w:rsid w:val="00B07DB1"/>
    <w:rsid w:val="00B11B55"/>
    <w:rsid w:val="00B12A08"/>
    <w:rsid w:val="00B16DD1"/>
    <w:rsid w:val="00B22E93"/>
    <w:rsid w:val="00B32D92"/>
    <w:rsid w:val="00B34B35"/>
    <w:rsid w:val="00B3707A"/>
    <w:rsid w:val="00B47BCC"/>
    <w:rsid w:val="00B55751"/>
    <w:rsid w:val="00B64A3D"/>
    <w:rsid w:val="00B7290D"/>
    <w:rsid w:val="00B8184B"/>
    <w:rsid w:val="00B86B95"/>
    <w:rsid w:val="00B95603"/>
    <w:rsid w:val="00B96FF5"/>
    <w:rsid w:val="00BA5FE5"/>
    <w:rsid w:val="00BA61B8"/>
    <w:rsid w:val="00BA7444"/>
    <w:rsid w:val="00BB0CB6"/>
    <w:rsid w:val="00BC1CFA"/>
    <w:rsid w:val="00BC40CF"/>
    <w:rsid w:val="00BD175E"/>
    <w:rsid w:val="00BD72D7"/>
    <w:rsid w:val="00BD77DF"/>
    <w:rsid w:val="00BE40A2"/>
    <w:rsid w:val="00BE4EEA"/>
    <w:rsid w:val="00BE6EAC"/>
    <w:rsid w:val="00BE6EDB"/>
    <w:rsid w:val="00BF315A"/>
    <w:rsid w:val="00BF720E"/>
    <w:rsid w:val="00C03E70"/>
    <w:rsid w:val="00C10269"/>
    <w:rsid w:val="00C149D2"/>
    <w:rsid w:val="00C17A7C"/>
    <w:rsid w:val="00C21347"/>
    <w:rsid w:val="00C22DBD"/>
    <w:rsid w:val="00C3378F"/>
    <w:rsid w:val="00C33A08"/>
    <w:rsid w:val="00C35CDC"/>
    <w:rsid w:val="00C46F91"/>
    <w:rsid w:val="00C6445C"/>
    <w:rsid w:val="00C64D90"/>
    <w:rsid w:val="00C66DA5"/>
    <w:rsid w:val="00C71153"/>
    <w:rsid w:val="00C76075"/>
    <w:rsid w:val="00C811E4"/>
    <w:rsid w:val="00C82A5D"/>
    <w:rsid w:val="00C82ABF"/>
    <w:rsid w:val="00C8515C"/>
    <w:rsid w:val="00C90FF3"/>
    <w:rsid w:val="00CA1000"/>
    <w:rsid w:val="00CA31F5"/>
    <w:rsid w:val="00CA6471"/>
    <w:rsid w:val="00CB2F54"/>
    <w:rsid w:val="00CC4622"/>
    <w:rsid w:val="00CC5C2D"/>
    <w:rsid w:val="00CC6252"/>
    <w:rsid w:val="00CE56CC"/>
    <w:rsid w:val="00CE58A7"/>
    <w:rsid w:val="00D10A8E"/>
    <w:rsid w:val="00D163C3"/>
    <w:rsid w:val="00D17238"/>
    <w:rsid w:val="00D204ED"/>
    <w:rsid w:val="00D21A69"/>
    <w:rsid w:val="00D415C3"/>
    <w:rsid w:val="00D44C79"/>
    <w:rsid w:val="00D501E8"/>
    <w:rsid w:val="00D5125E"/>
    <w:rsid w:val="00D54B71"/>
    <w:rsid w:val="00D61BC6"/>
    <w:rsid w:val="00D7401E"/>
    <w:rsid w:val="00D763BE"/>
    <w:rsid w:val="00D77014"/>
    <w:rsid w:val="00D95296"/>
    <w:rsid w:val="00DA08F7"/>
    <w:rsid w:val="00DA450D"/>
    <w:rsid w:val="00DA6A07"/>
    <w:rsid w:val="00DB530E"/>
    <w:rsid w:val="00DC0E19"/>
    <w:rsid w:val="00DC335C"/>
    <w:rsid w:val="00DC3C14"/>
    <w:rsid w:val="00DC3EF4"/>
    <w:rsid w:val="00DC6CEC"/>
    <w:rsid w:val="00DE1937"/>
    <w:rsid w:val="00DE3843"/>
    <w:rsid w:val="00DE3B24"/>
    <w:rsid w:val="00DE45E2"/>
    <w:rsid w:val="00DE5DC0"/>
    <w:rsid w:val="00DE6C70"/>
    <w:rsid w:val="00DF2957"/>
    <w:rsid w:val="00DF429D"/>
    <w:rsid w:val="00DF616A"/>
    <w:rsid w:val="00E10941"/>
    <w:rsid w:val="00E13F17"/>
    <w:rsid w:val="00E15B1A"/>
    <w:rsid w:val="00E177D8"/>
    <w:rsid w:val="00E236CD"/>
    <w:rsid w:val="00E2782D"/>
    <w:rsid w:val="00E344AF"/>
    <w:rsid w:val="00E449D4"/>
    <w:rsid w:val="00E51ABD"/>
    <w:rsid w:val="00E522C0"/>
    <w:rsid w:val="00E55591"/>
    <w:rsid w:val="00E565C0"/>
    <w:rsid w:val="00E578D2"/>
    <w:rsid w:val="00E73CCD"/>
    <w:rsid w:val="00E74EA2"/>
    <w:rsid w:val="00E77ECF"/>
    <w:rsid w:val="00E858DD"/>
    <w:rsid w:val="00E97959"/>
    <w:rsid w:val="00EA1924"/>
    <w:rsid w:val="00EA2A07"/>
    <w:rsid w:val="00EB0F00"/>
    <w:rsid w:val="00EC293A"/>
    <w:rsid w:val="00ED0C25"/>
    <w:rsid w:val="00ED12EC"/>
    <w:rsid w:val="00ED44EB"/>
    <w:rsid w:val="00ED7012"/>
    <w:rsid w:val="00EE443C"/>
    <w:rsid w:val="00EE75D0"/>
    <w:rsid w:val="00EE7B04"/>
    <w:rsid w:val="00EF078F"/>
    <w:rsid w:val="00EF2872"/>
    <w:rsid w:val="00EF5DD9"/>
    <w:rsid w:val="00F00360"/>
    <w:rsid w:val="00F00C0D"/>
    <w:rsid w:val="00F0607D"/>
    <w:rsid w:val="00F2185D"/>
    <w:rsid w:val="00F27F88"/>
    <w:rsid w:val="00F312FB"/>
    <w:rsid w:val="00F340FD"/>
    <w:rsid w:val="00F34760"/>
    <w:rsid w:val="00F37CB5"/>
    <w:rsid w:val="00F43155"/>
    <w:rsid w:val="00F437A0"/>
    <w:rsid w:val="00F55BD9"/>
    <w:rsid w:val="00F61A38"/>
    <w:rsid w:val="00F67BE4"/>
    <w:rsid w:val="00F70D2D"/>
    <w:rsid w:val="00F73CD2"/>
    <w:rsid w:val="00F7677B"/>
    <w:rsid w:val="00F81AB0"/>
    <w:rsid w:val="00F85EE6"/>
    <w:rsid w:val="00F91F44"/>
    <w:rsid w:val="00F97BA7"/>
    <w:rsid w:val="00FA421F"/>
    <w:rsid w:val="00FA4608"/>
    <w:rsid w:val="00FC5998"/>
    <w:rsid w:val="00FD3C32"/>
    <w:rsid w:val="00FD7073"/>
    <w:rsid w:val="00FE0BA4"/>
    <w:rsid w:val="00FF23D6"/>
    <w:rsid w:val="00FF4920"/>
    <w:rsid w:val="00FF7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1A65F"/>
  <w15:chartTrackingRefBased/>
  <w15:docId w15:val="{6225AB8C-366C-4C5C-9325-B561739B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6B9"/>
    <w:pPr>
      <w:spacing w:after="200" w:line="276" w:lineRule="auto"/>
    </w:pPr>
    <w:rPr>
      <w:lang w:val="ru-RU"/>
    </w:rPr>
  </w:style>
  <w:style w:type="paragraph" w:styleId="1">
    <w:name w:val="heading 1"/>
    <w:basedOn w:val="a"/>
    <w:link w:val="10"/>
    <w:uiPriority w:val="9"/>
    <w:qFormat/>
    <w:rsid w:val="003F0783"/>
    <w:pPr>
      <w:spacing w:before="120" w:beforeAutospacing="1" w:after="120" w:afterAutospacing="1" w:line="240" w:lineRule="auto"/>
      <w:jc w:val="center"/>
      <w:outlineLvl w:val="0"/>
    </w:pPr>
    <w:rPr>
      <w:rFonts w:ascii="Times New Roman" w:eastAsia="Times New Roman" w:hAnsi="Times New Roman" w:cs="Times New Roman"/>
      <w:b/>
      <w:bCs/>
      <w:kern w:val="36"/>
      <w:sz w:val="28"/>
      <w:szCs w:val="48"/>
      <w:lang w:eastAsia="ru-RU"/>
    </w:rPr>
  </w:style>
  <w:style w:type="paragraph" w:styleId="2">
    <w:name w:val="heading 2"/>
    <w:basedOn w:val="a"/>
    <w:next w:val="a"/>
    <w:link w:val="20"/>
    <w:uiPriority w:val="9"/>
    <w:semiHidden/>
    <w:unhideWhenUsed/>
    <w:qFormat/>
    <w:rsid w:val="001423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D0C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0783"/>
    <w:rPr>
      <w:rFonts w:ascii="Times New Roman" w:eastAsia="Times New Roman" w:hAnsi="Times New Roman" w:cs="Times New Roman"/>
      <w:b/>
      <w:bCs/>
      <w:kern w:val="36"/>
      <w:sz w:val="28"/>
      <w:szCs w:val="48"/>
      <w:lang w:val="ru-RU" w:eastAsia="ru-RU"/>
    </w:rPr>
  </w:style>
  <w:style w:type="paragraph" w:styleId="a3">
    <w:name w:val="Normal (Web)"/>
    <w:basedOn w:val="a"/>
    <w:uiPriority w:val="99"/>
    <w:unhideWhenUsed/>
    <w:rsid w:val="008D26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99"/>
    <w:semiHidden/>
    <w:unhideWhenUsed/>
    <w:rsid w:val="008D26B9"/>
    <w:pPr>
      <w:suppressAutoHyphens/>
      <w:spacing w:after="120" w:line="240" w:lineRule="auto"/>
    </w:pPr>
    <w:rPr>
      <w:rFonts w:ascii="Times New Roman" w:eastAsia="Batang" w:hAnsi="Times New Roman" w:cs="Times New Roman"/>
      <w:sz w:val="20"/>
      <w:szCs w:val="20"/>
      <w:lang w:eastAsia="ar-SA"/>
    </w:rPr>
  </w:style>
  <w:style w:type="character" w:customStyle="1" w:styleId="a5">
    <w:name w:val="Основной текст Знак"/>
    <w:basedOn w:val="a0"/>
    <w:link w:val="a4"/>
    <w:uiPriority w:val="99"/>
    <w:semiHidden/>
    <w:rsid w:val="008D26B9"/>
    <w:rPr>
      <w:rFonts w:ascii="Times New Roman" w:eastAsia="Batang" w:hAnsi="Times New Roman" w:cs="Times New Roman"/>
      <w:sz w:val="20"/>
      <w:szCs w:val="20"/>
      <w:lang w:val="ru-RU" w:eastAsia="ar-SA"/>
    </w:rPr>
  </w:style>
  <w:style w:type="paragraph" w:styleId="a6">
    <w:name w:val="List Paragraph"/>
    <w:basedOn w:val="a"/>
    <w:uiPriority w:val="34"/>
    <w:qFormat/>
    <w:rsid w:val="008D26B9"/>
    <w:pPr>
      <w:ind w:left="720"/>
      <w:contextualSpacing/>
    </w:pPr>
  </w:style>
  <w:style w:type="character" w:styleId="a7">
    <w:name w:val="Hyperlink"/>
    <w:basedOn w:val="a0"/>
    <w:uiPriority w:val="99"/>
    <w:semiHidden/>
    <w:unhideWhenUsed/>
    <w:rsid w:val="004979B2"/>
    <w:rPr>
      <w:color w:val="0000FF"/>
      <w:u w:val="single"/>
    </w:rPr>
  </w:style>
  <w:style w:type="paragraph" w:customStyle="1" w:styleId="opispoleabz">
    <w:name w:val="opis_pole_abz"/>
    <w:basedOn w:val="a"/>
    <w:rsid w:val="00CC46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okr">
    <w:name w:val="sokr"/>
    <w:basedOn w:val="a0"/>
    <w:rsid w:val="00CC4622"/>
  </w:style>
  <w:style w:type="character" w:styleId="a8">
    <w:name w:val="Strong"/>
    <w:basedOn w:val="a0"/>
    <w:uiPriority w:val="22"/>
    <w:qFormat/>
    <w:rsid w:val="005959AD"/>
    <w:rPr>
      <w:b/>
      <w:bCs/>
    </w:rPr>
  </w:style>
  <w:style w:type="paragraph" w:styleId="a9">
    <w:name w:val="header"/>
    <w:basedOn w:val="a"/>
    <w:link w:val="aa"/>
    <w:uiPriority w:val="99"/>
    <w:unhideWhenUsed/>
    <w:rsid w:val="003D4EE6"/>
    <w:pPr>
      <w:tabs>
        <w:tab w:val="center" w:pos="4844"/>
        <w:tab w:val="right" w:pos="9689"/>
      </w:tabs>
      <w:spacing w:after="0" w:line="240" w:lineRule="auto"/>
    </w:pPr>
  </w:style>
  <w:style w:type="character" w:customStyle="1" w:styleId="aa">
    <w:name w:val="Верхний колонтитул Знак"/>
    <w:basedOn w:val="a0"/>
    <w:link w:val="a9"/>
    <w:uiPriority w:val="99"/>
    <w:rsid w:val="003D4EE6"/>
    <w:rPr>
      <w:lang w:val="ru-RU"/>
    </w:rPr>
  </w:style>
  <w:style w:type="paragraph" w:styleId="ab">
    <w:name w:val="footer"/>
    <w:basedOn w:val="a"/>
    <w:link w:val="ac"/>
    <w:uiPriority w:val="99"/>
    <w:unhideWhenUsed/>
    <w:rsid w:val="003D4EE6"/>
    <w:pPr>
      <w:tabs>
        <w:tab w:val="center" w:pos="4844"/>
        <w:tab w:val="right" w:pos="9689"/>
      </w:tabs>
      <w:spacing w:after="0" w:line="240" w:lineRule="auto"/>
    </w:pPr>
  </w:style>
  <w:style w:type="character" w:customStyle="1" w:styleId="ac">
    <w:name w:val="Нижний колонтитул Знак"/>
    <w:basedOn w:val="a0"/>
    <w:link w:val="ab"/>
    <w:uiPriority w:val="99"/>
    <w:rsid w:val="003D4EE6"/>
    <w:rPr>
      <w:lang w:val="ru-RU"/>
    </w:rPr>
  </w:style>
  <w:style w:type="paragraph" w:styleId="ad">
    <w:name w:val="Balloon Text"/>
    <w:basedOn w:val="a"/>
    <w:link w:val="ae"/>
    <w:uiPriority w:val="99"/>
    <w:semiHidden/>
    <w:unhideWhenUsed/>
    <w:rsid w:val="00CA1000"/>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A1000"/>
    <w:rPr>
      <w:rFonts w:ascii="Segoe UI" w:hAnsi="Segoe UI" w:cs="Segoe UI"/>
      <w:sz w:val="18"/>
      <w:szCs w:val="18"/>
      <w:lang w:val="ru-RU"/>
    </w:rPr>
  </w:style>
  <w:style w:type="paragraph" w:customStyle="1" w:styleId="af">
    <w:name w:val="Оновной текст"/>
    <w:basedOn w:val="a"/>
    <w:qFormat/>
    <w:rsid w:val="00BC1CFA"/>
    <w:pPr>
      <w:spacing w:before="120" w:after="120"/>
      <w:jc w:val="both"/>
    </w:pPr>
    <w:rPr>
      <w:rFonts w:ascii="Times New Roman" w:hAnsi="Times New Roman"/>
      <w:sz w:val="24"/>
    </w:rPr>
  </w:style>
  <w:style w:type="character" w:customStyle="1" w:styleId="20">
    <w:name w:val="Заголовок 2 Знак"/>
    <w:basedOn w:val="a0"/>
    <w:link w:val="2"/>
    <w:uiPriority w:val="9"/>
    <w:semiHidden/>
    <w:rsid w:val="001423A6"/>
    <w:rPr>
      <w:rFonts w:asciiTheme="majorHAnsi" w:eastAsiaTheme="majorEastAsia" w:hAnsiTheme="majorHAnsi" w:cstheme="majorBidi"/>
      <w:color w:val="2E74B5" w:themeColor="accent1" w:themeShade="BF"/>
      <w:sz w:val="26"/>
      <w:szCs w:val="26"/>
      <w:lang w:val="ru-RU"/>
    </w:rPr>
  </w:style>
  <w:style w:type="character" w:customStyle="1" w:styleId="30">
    <w:name w:val="Заголовок 3 Знак"/>
    <w:basedOn w:val="a0"/>
    <w:link w:val="3"/>
    <w:uiPriority w:val="9"/>
    <w:semiHidden/>
    <w:rsid w:val="00ED0C25"/>
    <w:rPr>
      <w:rFonts w:asciiTheme="majorHAnsi" w:eastAsiaTheme="majorEastAsia" w:hAnsiTheme="majorHAnsi" w:cstheme="majorBidi"/>
      <w:color w:val="1F4D78" w:themeColor="accent1" w:themeShade="7F"/>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587">
      <w:bodyDiv w:val="1"/>
      <w:marLeft w:val="0"/>
      <w:marRight w:val="0"/>
      <w:marTop w:val="0"/>
      <w:marBottom w:val="0"/>
      <w:divBdr>
        <w:top w:val="none" w:sz="0" w:space="0" w:color="auto"/>
        <w:left w:val="none" w:sz="0" w:space="0" w:color="auto"/>
        <w:bottom w:val="none" w:sz="0" w:space="0" w:color="auto"/>
        <w:right w:val="none" w:sz="0" w:space="0" w:color="auto"/>
      </w:divBdr>
    </w:div>
    <w:div w:id="19405326">
      <w:bodyDiv w:val="1"/>
      <w:marLeft w:val="0"/>
      <w:marRight w:val="0"/>
      <w:marTop w:val="0"/>
      <w:marBottom w:val="0"/>
      <w:divBdr>
        <w:top w:val="none" w:sz="0" w:space="0" w:color="auto"/>
        <w:left w:val="none" w:sz="0" w:space="0" w:color="auto"/>
        <w:bottom w:val="none" w:sz="0" w:space="0" w:color="auto"/>
        <w:right w:val="none" w:sz="0" w:space="0" w:color="auto"/>
      </w:divBdr>
    </w:div>
    <w:div w:id="43910990">
      <w:bodyDiv w:val="1"/>
      <w:marLeft w:val="0"/>
      <w:marRight w:val="0"/>
      <w:marTop w:val="0"/>
      <w:marBottom w:val="0"/>
      <w:divBdr>
        <w:top w:val="none" w:sz="0" w:space="0" w:color="auto"/>
        <w:left w:val="none" w:sz="0" w:space="0" w:color="auto"/>
        <w:bottom w:val="none" w:sz="0" w:space="0" w:color="auto"/>
        <w:right w:val="none" w:sz="0" w:space="0" w:color="auto"/>
      </w:divBdr>
    </w:div>
    <w:div w:id="166290772">
      <w:bodyDiv w:val="1"/>
      <w:marLeft w:val="0"/>
      <w:marRight w:val="0"/>
      <w:marTop w:val="0"/>
      <w:marBottom w:val="0"/>
      <w:divBdr>
        <w:top w:val="none" w:sz="0" w:space="0" w:color="auto"/>
        <w:left w:val="none" w:sz="0" w:space="0" w:color="auto"/>
        <w:bottom w:val="none" w:sz="0" w:space="0" w:color="auto"/>
        <w:right w:val="none" w:sz="0" w:space="0" w:color="auto"/>
      </w:divBdr>
    </w:div>
    <w:div w:id="244269155">
      <w:bodyDiv w:val="1"/>
      <w:marLeft w:val="0"/>
      <w:marRight w:val="0"/>
      <w:marTop w:val="0"/>
      <w:marBottom w:val="0"/>
      <w:divBdr>
        <w:top w:val="none" w:sz="0" w:space="0" w:color="auto"/>
        <w:left w:val="none" w:sz="0" w:space="0" w:color="auto"/>
        <w:bottom w:val="none" w:sz="0" w:space="0" w:color="auto"/>
        <w:right w:val="none" w:sz="0" w:space="0" w:color="auto"/>
      </w:divBdr>
    </w:div>
    <w:div w:id="244923506">
      <w:bodyDiv w:val="1"/>
      <w:marLeft w:val="0"/>
      <w:marRight w:val="0"/>
      <w:marTop w:val="0"/>
      <w:marBottom w:val="0"/>
      <w:divBdr>
        <w:top w:val="none" w:sz="0" w:space="0" w:color="auto"/>
        <w:left w:val="none" w:sz="0" w:space="0" w:color="auto"/>
        <w:bottom w:val="none" w:sz="0" w:space="0" w:color="auto"/>
        <w:right w:val="none" w:sz="0" w:space="0" w:color="auto"/>
      </w:divBdr>
    </w:div>
    <w:div w:id="329137140">
      <w:bodyDiv w:val="1"/>
      <w:marLeft w:val="0"/>
      <w:marRight w:val="0"/>
      <w:marTop w:val="0"/>
      <w:marBottom w:val="0"/>
      <w:divBdr>
        <w:top w:val="none" w:sz="0" w:space="0" w:color="auto"/>
        <w:left w:val="none" w:sz="0" w:space="0" w:color="auto"/>
        <w:bottom w:val="none" w:sz="0" w:space="0" w:color="auto"/>
        <w:right w:val="none" w:sz="0" w:space="0" w:color="auto"/>
      </w:divBdr>
    </w:div>
    <w:div w:id="443967689">
      <w:bodyDiv w:val="1"/>
      <w:marLeft w:val="0"/>
      <w:marRight w:val="0"/>
      <w:marTop w:val="0"/>
      <w:marBottom w:val="0"/>
      <w:divBdr>
        <w:top w:val="none" w:sz="0" w:space="0" w:color="auto"/>
        <w:left w:val="none" w:sz="0" w:space="0" w:color="auto"/>
        <w:bottom w:val="none" w:sz="0" w:space="0" w:color="auto"/>
        <w:right w:val="none" w:sz="0" w:space="0" w:color="auto"/>
      </w:divBdr>
    </w:div>
    <w:div w:id="478032327">
      <w:bodyDiv w:val="1"/>
      <w:marLeft w:val="0"/>
      <w:marRight w:val="0"/>
      <w:marTop w:val="0"/>
      <w:marBottom w:val="0"/>
      <w:divBdr>
        <w:top w:val="none" w:sz="0" w:space="0" w:color="auto"/>
        <w:left w:val="none" w:sz="0" w:space="0" w:color="auto"/>
        <w:bottom w:val="none" w:sz="0" w:space="0" w:color="auto"/>
        <w:right w:val="none" w:sz="0" w:space="0" w:color="auto"/>
      </w:divBdr>
    </w:div>
    <w:div w:id="511723021">
      <w:bodyDiv w:val="1"/>
      <w:marLeft w:val="0"/>
      <w:marRight w:val="0"/>
      <w:marTop w:val="0"/>
      <w:marBottom w:val="0"/>
      <w:divBdr>
        <w:top w:val="none" w:sz="0" w:space="0" w:color="auto"/>
        <w:left w:val="none" w:sz="0" w:space="0" w:color="auto"/>
        <w:bottom w:val="none" w:sz="0" w:space="0" w:color="auto"/>
        <w:right w:val="none" w:sz="0" w:space="0" w:color="auto"/>
      </w:divBdr>
      <w:divsChild>
        <w:div w:id="775756663">
          <w:marLeft w:val="0"/>
          <w:marRight w:val="0"/>
          <w:marTop w:val="0"/>
          <w:marBottom w:val="0"/>
          <w:divBdr>
            <w:top w:val="none" w:sz="0" w:space="0" w:color="auto"/>
            <w:left w:val="none" w:sz="0" w:space="0" w:color="auto"/>
            <w:bottom w:val="none" w:sz="0" w:space="0" w:color="auto"/>
            <w:right w:val="none" w:sz="0" w:space="0" w:color="auto"/>
          </w:divBdr>
        </w:div>
        <w:div w:id="897857377">
          <w:marLeft w:val="0"/>
          <w:marRight w:val="0"/>
          <w:marTop w:val="0"/>
          <w:marBottom w:val="0"/>
          <w:divBdr>
            <w:top w:val="none" w:sz="0" w:space="0" w:color="auto"/>
            <w:left w:val="none" w:sz="0" w:space="0" w:color="auto"/>
            <w:bottom w:val="none" w:sz="0" w:space="0" w:color="auto"/>
            <w:right w:val="none" w:sz="0" w:space="0" w:color="auto"/>
          </w:divBdr>
        </w:div>
      </w:divsChild>
    </w:div>
    <w:div w:id="570503300">
      <w:bodyDiv w:val="1"/>
      <w:marLeft w:val="0"/>
      <w:marRight w:val="0"/>
      <w:marTop w:val="0"/>
      <w:marBottom w:val="0"/>
      <w:divBdr>
        <w:top w:val="none" w:sz="0" w:space="0" w:color="auto"/>
        <w:left w:val="none" w:sz="0" w:space="0" w:color="auto"/>
        <w:bottom w:val="none" w:sz="0" w:space="0" w:color="auto"/>
        <w:right w:val="none" w:sz="0" w:space="0" w:color="auto"/>
      </w:divBdr>
    </w:div>
    <w:div w:id="579681393">
      <w:bodyDiv w:val="1"/>
      <w:marLeft w:val="0"/>
      <w:marRight w:val="0"/>
      <w:marTop w:val="0"/>
      <w:marBottom w:val="0"/>
      <w:divBdr>
        <w:top w:val="none" w:sz="0" w:space="0" w:color="auto"/>
        <w:left w:val="none" w:sz="0" w:space="0" w:color="auto"/>
        <w:bottom w:val="none" w:sz="0" w:space="0" w:color="auto"/>
        <w:right w:val="none" w:sz="0" w:space="0" w:color="auto"/>
      </w:divBdr>
    </w:div>
    <w:div w:id="695154899">
      <w:bodyDiv w:val="1"/>
      <w:marLeft w:val="0"/>
      <w:marRight w:val="0"/>
      <w:marTop w:val="0"/>
      <w:marBottom w:val="0"/>
      <w:divBdr>
        <w:top w:val="none" w:sz="0" w:space="0" w:color="auto"/>
        <w:left w:val="none" w:sz="0" w:space="0" w:color="auto"/>
        <w:bottom w:val="none" w:sz="0" w:space="0" w:color="auto"/>
        <w:right w:val="none" w:sz="0" w:space="0" w:color="auto"/>
      </w:divBdr>
    </w:div>
    <w:div w:id="729110614">
      <w:bodyDiv w:val="1"/>
      <w:marLeft w:val="0"/>
      <w:marRight w:val="0"/>
      <w:marTop w:val="0"/>
      <w:marBottom w:val="0"/>
      <w:divBdr>
        <w:top w:val="none" w:sz="0" w:space="0" w:color="auto"/>
        <w:left w:val="none" w:sz="0" w:space="0" w:color="auto"/>
        <w:bottom w:val="none" w:sz="0" w:space="0" w:color="auto"/>
        <w:right w:val="none" w:sz="0" w:space="0" w:color="auto"/>
      </w:divBdr>
    </w:div>
    <w:div w:id="769349594">
      <w:bodyDiv w:val="1"/>
      <w:marLeft w:val="0"/>
      <w:marRight w:val="0"/>
      <w:marTop w:val="0"/>
      <w:marBottom w:val="0"/>
      <w:divBdr>
        <w:top w:val="none" w:sz="0" w:space="0" w:color="auto"/>
        <w:left w:val="none" w:sz="0" w:space="0" w:color="auto"/>
        <w:bottom w:val="none" w:sz="0" w:space="0" w:color="auto"/>
        <w:right w:val="none" w:sz="0" w:space="0" w:color="auto"/>
      </w:divBdr>
    </w:div>
    <w:div w:id="773794018">
      <w:bodyDiv w:val="1"/>
      <w:marLeft w:val="0"/>
      <w:marRight w:val="0"/>
      <w:marTop w:val="0"/>
      <w:marBottom w:val="0"/>
      <w:divBdr>
        <w:top w:val="none" w:sz="0" w:space="0" w:color="auto"/>
        <w:left w:val="none" w:sz="0" w:space="0" w:color="auto"/>
        <w:bottom w:val="none" w:sz="0" w:space="0" w:color="auto"/>
        <w:right w:val="none" w:sz="0" w:space="0" w:color="auto"/>
      </w:divBdr>
    </w:div>
    <w:div w:id="787042810">
      <w:bodyDiv w:val="1"/>
      <w:marLeft w:val="0"/>
      <w:marRight w:val="0"/>
      <w:marTop w:val="0"/>
      <w:marBottom w:val="0"/>
      <w:divBdr>
        <w:top w:val="none" w:sz="0" w:space="0" w:color="auto"/>
        <w:left w:val="none" w:sz="0" w:space="0" w:color="auto"/>
        <w:bottom w:val="none" w:sz="0" w:space="0" w:color="auto"/>
        <w:right w:val="none" w:sz="0" w:space="0" w:color="auto"/>
      </w:divBdr>
    </w:div>
    <w:div w:id="822890715">
      <w:bodyDiv w:val="1"/>
      <w:marLeft w:val="0"/>
      <w:marRight w:val="0"/>
      <w:marTop w:val="0"/>
      <w:marBottom w:val="0"/>
      <w:divBdr>
        <w:top w:val="none" w:sz="0" w:space="0" w:color="auto"/>
        <w:left w:val="none" w:sz="0" w:space="0" w:color="auto"/>
        <w:bottom w:val="none" w:sz="0" w:space="0" w:color="auto"/>
        <w:right w:val="none" w:sz="0" w:space="0" w:color="auto"/>
      </w:divBdr>
    </w:div>
    <w:div w:id="836965354">
      <w:bodyDiv w:val="1"/>
      <w:marLeft w:val="0"/>
      <w:marRight w:val="0"/>
      <w:marTop w:val="0"/>
      <w:marBottom w:val="0"/>
      <w:divBdr>
        <w:top w:val="none" w:sz="0" w:space="0" w:color="auto"/>
        <w:left w:val="none" w:sz="0" w:space="0" w:color="auto"/>
        <w:bottom w:val="none" w:sz="0" w:space="0" w:color="auto"/>
        <w:right w:val="none" w:sz="0" w:space="0" w:color="auto"/>
      </w:divBdr>
    </w:div>
    <w:div w:id="1024094658">
      <w:bodyDiv w:val="1"/>
      <w:marLeft w:val="0"/>
      <w:marRight w:val="0"/>
      <w:marTop w:val="0"/>
      <w:marBottom w:val="0"/>
      <w:divBdr>
        <w:top w:val="none" w:sz="0" w:space="0" w:color="auto"/>
        <w:left w:val="none" w:sz="0" w:space="0" w:color="auto"/>
        <w:bottom w:val="none" w:sz="0" w:space="0" w:color="auto"/>
        <w:right w:val="none" w:sz="0" w:space="0" w:color="auto"/>
      </w:divBdr>
    </w:div>
    <w:div w:id="1025520170">
      <w:bodyDiv w:val="1"/>
      <w:marLeft w:val="0"/>
      <w:marRight w:val="0"/>
      <w:marTop w:val="0"/>
      <w:marBottom w:val="0"/>
      <w:divBdr>
        <w:top w:val="none" w:sz="0" w:space="0" w:color="auto"/>
        <w:left w:val="none" w:sz="0" w:space="0" w:color="auto"/>
        <w:bottom w:val="none" w:sz="0" w:space="0" w:color="auto"/>
        <w:right w:val="none" w:sz="0" w:space="0" w:color="auto"/>
      </w:divBdr>
    </w:div>
    <w:div w:id="1037969977">
      <w:bodyDiv w:val="1"/>
      <w:marLeft w:val="0"/>
      <w:marRight w:val="0"/>
      <w:marTop w:val="0"/>
      <w:marBottom w:val="0"/>
      <w:divBdr>
        <w:top w:val="none" w:sz="0" w:space="0" w:color="auto"/>
        <w:left w:val="none" w:sz="0" w:space="0" w:color="auto"/>
        <w:bottom w:val="none" w:sz="0" w:space="0" w:color="auto"/>
        <w:right w:val="none" w:sz="0" w:space="0" w:color="auto"/>
      </w:divBdr>
    </w:div>
    <w:div w:id="1083068049">
      <w:bodyDiv w:val="1"/>
      <w:marLeft w:val="0"/>
      <w:marRight w:val="0"/>
      <w:marTop w:val="0"/>
      <w:marBottom w:val="0"/>
      <w:divBdr>
        <w:top w:val="none" w:sz="0" w:space="0" w:color="auto"/>
        <w:left w:val="none" w:sz="0" w:space="0" w:color="auto"/>
        <w:bottom w:val="none" w:sz="0" w:space="0" w:color="auto"/>
        <w:right w:val="none" w:sz="0" w:space="0" w:color="auto"/>
      </w:divBdr>
    </w:div>
    <w:div w:id="1216039697">
      <w:bodyDiv w:val="1"/>
      <w:marLeft w:val="0"/>
      <w:marRight w:val="0"/>
      <w:marTop w:val="0"/>
      <w:marBottom w:val="0"/>
      <w:divBdr>
        <w:top w:val="none" w:sz="0" w:space="0" w:color="auto"/>
        <w:left w:val="none" w:sz="0" w:space="0" w:color="auto"/>
        <w:bottom w:val="none" w:sz="0" w:space="0" w:color="auto"/>
        <w:right w:val="none" w:sz="0" w:space="0" w:color="auto"/>
      </w:divBdr>
    </w:div>
    <w:div w:id="1276667629">
      <w:bodyDiv w:val="1"/>
      <w:marLeft w:val="0"/>
      <w:marRight w:val="0"/>
      <w:marTop w:val="0"/>
      <w:marBottom w:val="0"/>
      <w:divBdr>
        <w:top w:val="none" w:sz="0" w:space="0" w:color="auto"/>
        <w:left w:val="none" w:sz="0" w:space="0" w:color="auto"/>
        <w:bottom w:val="none" w:sz="0" w:space="0" w:color="auto"/>
        <w:right w:val="none" w:sz="0" w:space="0" w:color="auto"/>
      </w:divBdr>
    </w:div>
    <w:div w:id="1277984384">
      <w:bodyDiv w:val="1"/>
      <w:marLeft w:val="0"/>
      <w:marRight w:val="0"/>
      <w:marTop w:val="0"/>
      <w:marBottom w:val="0"/>
      <w:divBdr>
        <w:top w:val="none" w:sz="0" w:space="0" w:color="auto"/>
        <w:left w:val="none" w:sz="0" w:space="0" w:color="auto"/>
        <w:bottom w:val="none" w:sz="0" w:space="0" w:color="auto"/>
        <w:right w:val="none" w:sz="0" w:space="0" w:color="auto"/>
      </w:divBdr>
    </w:div>
    <w:div w:id="1324316364">
      <w:bodyDiv w:val="1"/>
      <w:marLeft w:val="0"/>
      <w:marRight w:val="0"/>
      <w:marTop w:val="0"/>
      <w:marBottom w:val="0"/>
      <w:divBdr>
        <w:top w:val="none" w:sz="0" w:space="0" w:color="auto"/>
        <w:left w:val="none" w:sz="0" w:space="0" w:color="auto"/>
        <w:bottom w:val="none" w:sz="0" w:space="0" w:color="auto"/>
        <w:right w:val="none" w:sz="0" w:space="0" w:color="auto"/>
      </w:divBdr>
    </w:div>
    <w:div w:id="1369640942">
      <w:bodyDiv w:val="1"/>
      <w:marLeft w:val="0"/>
      <w:marRight w:val="0"/>
      <w:marTop w:val="0"/>
      <w:marBottom w:val="0"/>
      <w:divBdr>
        <w:top w:val="none" w:sz="0" w:space="0" w:color="auto"/>
        <w:left w:val="none" w:sz="0" w:space="0" w:color="auto"/>
        <w:bottom w:val="none" w:sz="0" w:space="0" w:color="auto"/>
        <w:right w:val="none" w:sz="0" w:space="0" w:color="auto"/>
      </w:divBdr>
    </w:div>
    <w:div w:id="1384718896">
      <w:bodyDiv w:val="1"/>
      <w:marLeft w:val="0"/>
      <w:marRight w:val="0"/>
      <w:marTop w:val="0"/>
      <w:marBottom w:val="0"/>
      <w:divBdr>
        <w:top w:val="none" w:sz="0" w:space="0" w:color="auto"/>
        <w:left w:val="none" w:sz="0" w:space="0" w:color="auto"/>
        <w:bottom w:val="none" w:sz="0" w:space="0" w:color="auto"/>
        <w:right w:val="none" w:sz="0" w:space="0" w:color="auto"/>
      </w:divBdr>
    </w:div>
    <w:div w:id="1542596896">
      <w:bodyDiv w:val="1"/>
      <w:marLeft w:val="0"/>
      <w:marRight w:val="0"/>
      <w:marTop w:val="0"/>
      <w:marBottom w:val="0"/>
      <w:divBdr>
        <w:top w:val="none" w:sz="0" w:space="0" w:color="auto"/>
        <w:left w:val="none" w:sz="0" w:space="0" w:color="auto"/>
        <w:bottom w:val="none" w:sz="0" w:space="0" w:color="auto"/>
        <w:right w:val="none" w:sz="0" w:space="0" w:color="auto"/>
      </w:divBdr>
      <w:divsChild>
        <w:div w:id="1448423573">
          <w:marLeft w:val="0"/>
          <w:marRight w:val="0"/>
          <w:marTop w:val="0"/>
          <w:marBottom w:val="750"/>
          <w:divBdr>
            <w:top w:val="none" w:sz="0" w:space="0" w:color="auto"/>
            <w:left w:val="none" w:sz="0" w:space="0" w:color="auto"/>
            <w:bottom w:val="none" w:sz="0" w:space="0" w:color="auto"/>
            <w:right w:val="none" w:sz="0" w:space="0" w:color="auto"/>
          </w:divBdr>
        </w:div>
      </w:divsChild>
    </w:div>
    <w:div w:id="1644969646">
      <w:bodyDiv w:val="1"/>
      <w:marLeft w:val="0"/>
      <w:marRight w:val="0"/>
      <w:marTop w:val="0"/>
      <w:marBottom w:val="0"/>
      <w:divBdr>
        <w:top w:val="none" w:sz="0" w:space="0" w:color="auto"/>
        <w:left w:val="none" w:sz="0" w:space="0" w:color="auto"/>
        <w:bottom w:val="none" w:sz="0" w:space="0" w:color="auto"/>
        <w:right w:val="none" w:sz="0" w:space="0" w:color="auto"/>
      </w:divBdr>
    </w:div>
    <w:div w:id="1659765524">
      <w:bodyDiv w:val="1"/>
      <w:marLeft w:val="0"/>
      <w:marRight w:val="0"/>
      <w:marTop w:val="0"/>
      <w:marBottom w:val="0"/>
      <w:divBdr>
        <w:top w:val="none" w:sz="0" w:space="0" w:color="auto"/>
        <w:left w:val="none" w:sz="0" w:space="0" w:color="auto"/>
        <w:bottom w:val="none" w:sz="0" w:space="0" w:color="auto"/>
        <w:right w:val="none" w:sz="0" w:space="0" w:color="auto"/>
      </w:divBdr>
    </w:div>
    <w:div w:id="1670063335">
      <w:bodyDiv w:val="1"/>
      <w:marLeft w:val="0"/>
      <w:marRight w:val="0"/>
      <w:marTop w:val="0"/>
      <w:marBottom w:val="0"/>
      <w:divBdr>
        <w:top w:val="none" w:sz="0" w:space="0" w:color="auto"/>
        <w:left w:val="none" w:sz="0" w:space="0" w:color="auto"/>
        <w:bottom w:val="none" w:sz="0" w:space="0" w:color="auto"/>
        <w:right w:val="none" w:sz="0" w:space="0" w:color="auto"/>
      </w:divBdr>
    </w:div>
    <w:div w:id="1896621423">
      <w:bodyDiv w:val="1"/>
      <w:marLeft w:val="0"/>
      <w:marRight w:val="0"/>
      <w:marTop w:val="0"/>
      <w:marBottom w:val="0"/>
      <w:divBdr>
        <w:top w:val="none" w:sz="0" w:space="0" w:color="auto"/>
        <w:left w:val="none" w:sz="0" w:space="0" w:color="auto"/>
        <w:bottom w:val="none" w:sz="0" w:space="0" w:color="auto"/>
        <w:right w:val="none" w:sz="0" w:space="0" w:color="auto"/>
      </w:divBdr>
    </w:div>
    <w:div w:id="1967156201">
      <w:bodyDiv w:val="1"/>
      <w:marLeft w:val="0"/>
      <w:marRight w:val="0"/>
      <w:marTop w:val="0"/>
      <w:marBottom w:val="0"/>
      <w:divBdr>
        <w:top w:val="none" w:sz="0" w:space="0" w:color="auto"/>
        <w:left w:val="none" w:sz="0" w:space="0" w:color="auto"/>
        <w:bottom w:val="none" w:sz="0" w:space="0" w:color="auto"/>
        <w:right w:val="none" w:sz="0" w:space="0" w:color="auto"/>
      </w:divBdr>
    </w:div>
    <w:div w:id="2015262869">
      <w:bodyDiv w:val="1"/>
      <w:marLeft w:val="0"/>
      <w:marRight w:val="0"/>
      <w:marTop w:val="0"/>
      <w:marBottom w:val="0"/>
      <w:divBdr>
        <w:top w:val="none" w:sz="0" w:space="0" w:color="auto"/>
        <w:left w:val="none" w:sz="0" w:space="0" w:color="auto"/>
        <w:bottom w:val="none" w:sz="0" w:space="0" w:color="auto"/>
        <w:right w:val="none" w:sz="0" w:space="0" w:color="auto"/>
      </w:divBdr>
    </w:div>
    <w:div w:id="2018842442">
      <w:bodyDiv w:val="1"/>
      <w:marLeft w:val="0"/>
      <w:marRight w:val="0"/>
      <w:marTop w:val="0"/>
      <w:marBottom w:val="0"/>
      <w:divBdr>
        <w:top w:val="none" w:sz="0" w:space="0" w:color="auto"/>
        <w:left w:val="none" w:sz="0" w:space="0" w:color="auto"/>
        <w:bottom w:val="none" w:sz="0" w:space="0" w:color="auto"/>
        <w:right w:val="none" w:sz="0" w:space="0" w:color="auto"/>
      </w:divBdr>
    </w:div>
    <w:div w:id="2030255578">
      <w:bodyDiv w:val="1"/>
      <w:marLeft w:val="0"/>
      <w:marRight w:val="0"/>
      <w:marTop w:val="0"/>
      <w:marBottom w:val="0"/>
      <w:divBdr>
        <w:top w:val="none" w:sz="0" w:space="0" w:color="auto"/>
        <w:left w:val="none" w:sz="0" w:space="0" w:color="auto"/>
        <w:bottom w:val="none" w:sz="0" w:space="0" w:color="auto"/>
        <w:right w:val="none" w:sz="0" w:space="0" w:color="auto"/>
      </w:divBdr>
    </w:div>
    <w:div w:id="2068841310">
      <w:bodyDiv w:val="1"/>
      <w:marLeft w:val="0"/>
      <w:marRight w:val="0"/>
      <w:marTop w:val="0"/>
      <w:marBottom w:val="0"/>
      <w:divBdr>
        <w:top w:val="none" w:sz="0" w:space="0" w:color="auto"/>
        <w:left w:val="none" w:sz="0" w:space="0" w:color="auto"/>
        <w:bottom w:val="none" w:sz="0" w:space="0" w:color="auto"/>
        <w:right w:val="none" w:sz="0" w:space="0" w:color="auto"/>
      </w:divBdr>
    </w:div>
    <w:div w:id="2072461516">
      <w:bodyDiv w:val="1"/>
      <w:marLeft w:val="0"/>
      <w:marRight w:val="0"/>
      <w:marTop w:val="0"/>
      <w:marBottom w:val="0"/>
      <w:divBdr>
        <w:top w:val="none" w:sz="0" w:space="0" w:color="auto"/>
        <w:left w:val="none" w:sz="0" w:space="0" w:color="auto"/>
        <w:bottom w:val="none" w:sz="0" w:space="0" w:color="auto"/>
        <w:right w:val="none" w:sz="0" w:space="0" w:color="auto"/>
      </w:divBdr>
    </w:div>
    <w:div w:id="210275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F6113-0625-4D79-AEC7-4171E3F3E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2119</Words>
  <Characters>12080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55</cp:revision>
  <cp:lastPrinted>2019-10-02T05:01:00Z</cp:lastPrinted>
  <dcterms:created xsi:type="dcterms:W3CDTF">2025-05-12T18:16:00Z</dcterms:created>
  <dcterms:modified xsi:type="dcterms:W3CDTF">2025-11-07T15:34:00Z</dcterms:modified>
</cp:coreProperties>
</file>